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71BC2" w14:textId="09F037D2" w:rsidR="00677396" w:rsidRPr="00652907" w:rsidRDefault="00677396" w:rsidP="00D268E2">
      <w:pPr>
        <w:pStyle w:val="3GPPHeader"/>
        <w:jc w:val="left"/>
        <w:rPr>
          <w:rFonts w:cs="Arial"/>
          <w:szCs w:val="24"/>
        </w:rPr>
      </w:pPr>
      <w:r w:rsidRPr="00652907">
        <w:rPr>
          <w:rFonts w:cs="Arial"/>
          <w:szCs w:val="24"/>
        </w:rPr>
        <w:t>3GPP TSG-RAN WG2 Meeting #1</w:t>
      </w:r>
      <w:r w:rsidR="009366C1" w:rsidRPr="00652907">
        <w:rPr>
          <w:rFonts w:cs="Arial"/>
          <w:szCs w:val="24"/>
        </w:rPr>
        <w:t>3</w:t>
      </w:r>
      <w:r w:rsidR="008E256B">
        <w:rPr>
          <w:rFonts w:cs="Arial"/>
          <w:szCs w:val="24"/>
        </w:rPr>
        <w:t>1</w:t>
      </w:r>
      <w:r w:rsidRPr="00652907">
        <w:rPr>
          <w:rFonts w:cs="Arial"/>
          <w:szCs w:val="24"/>
        </w:rPr>
        <w:tab/>
      </w:r>
      <w:r w:rsidR="00DE3694" w:rsidRPr="00DE3694">
        <w:rPr>
          <w:rFonts w:cs="Arial"/>
          <w:szCs w:val="24"/>
        </w:rPr>
        <w:t>R2-2505874</w:t>
      </w:r>
    </w:p>
    <w:p w14:paraId="1EAFF16C" w14:textId="3FB03CA2" w:rsidR="00FF10F2" w:rsidRPr="00652907" w:rsidRDefault="008E256B" w:rsidP="00D268E2">
      <w:pPr>
        <w:pStyle w:val="3GPPHeader"/>
        <w:jc w:val="left"/>
        <w:rPr>
          <w:rFonts w:cs="Arial"/>
          <w:szCs w:val="24"/>
        </w:rPr>
      </w:pPr>
      <w:r>
        <w:rPr>
          <w:rFonts w:cs="Arial"/>
          <w:szCs w:val="24"/>
        </w:rPr>
        <w:t>Bangalore, India</w:t>
      </w:r>
      <w:r w:rsidR="00FF10F2" w:rsidRPr="00652907">
        <w:rPr>
          <w:rFonts w:cs="Arial"/>
          <w:szCs w:val="24"/>
        </w:rPr>
        <w:t xml:space="preserve">, </w:t>
      </w:r>
      <w:r>
        <w:rPr>
          <w:rFonts w:cs="Arial"/>
          <w:szCs w:val="24"/>
        </w:rPr>
        <w:t>August</w:t>
      </w:r>
      <w:r w:rsidR="00433EC8" w:rsidRPr="00652907">
        <w:rPr>
          <w:rFonts w:cs="Arial"/>
          <w:szCs w:val="24"/>
        </w:rPr>
        <w:t xml:space="preserve"> </w:t>
      </w:r>
      <w:r>
        <w:rPr>
          <w:rFonts w:cs="Arial"/>
          <w:szCs w:val="24"/>
        </w:rPr>
        <w:t>25</w:t>
      </w:r>
      <w:r w:rsidRPr="005268EE">
        <w:rPr>
          <w:rFonts w:cs="Arial"/>
          <w:szCs w:val="24"/>
          <w:vertAlign w:val="superscript"/>
        </w:rPr>
        <w:t>th</w:t>
      </w:r>
      <w:r>
        <w:rPr>
          <w:rFonts w:cs="Arial"/>
          <w:szCs w:val="24"/>
        </w:rPr>
        <w:t xml:space="preserve"> </w:t>
      </w:r>
      <w:r w:rsidR="00FF10F2" w:rsidRPr="00652907">
        <w:rPr>
          <w:rFonts w:cs="Arial"/>
          <w:szCs w:val="24"/>
        </w:rPr>
        <w:t xml:space="preserve">– </w:t>
      </w:r>
      <w:r w:rsidR="00433EC8" w:rsidRPr="00652907">
        <w:rPr>
          <w:rFonts w:cs="Arial"/>
          <w:szCs w:val="24"/>
        </w:rPr>
        <w:t>2</w:t>
      </w:r>
      <w:r>
        <w:rPr>
          <w:rFonts w:cs="Arial"/>
          <w:szCs w:val="24"/>
        </w:rPr>
        <w:t>9</w:t>
      </w:r>
      <w:r w:rsidRPr="005268EE">
        <w:rPr>
          <w:rFonts w:cs="Arial"/>
          <w:szCs w:val="24"/>
          <w:vertAlign w:val="superscript"/>
        </w:rPr>
        <w:t>th</w:t>
      </w:r>
      <w:r>
        <w:rPr>
          <w:rFonts w:cs="Arial"/>
          <w:szCs w:val="24"/>
        </w:rPr>
        <w:t xml:space="preserve">, </w:t>
      </w:r>
      <w:r w:rsidR="00FF10F2" w:rsidRPr="00652907">
        <w:rPr>
          <w:rFonts w:cs="Arial"/>
          <w:szCs w:val="24"/>
        </w:rPr>
        <w:t>2025</w:t>
      </w:r>
    </w:p>
    <w:p w14:paraId="0ADEF5D5" w14:textId="39B7E503" w:rsidR="00E9639C" w:rsidRPr="00652907" w:rsidRDefault="00E9639C" w:rsidP="00D268E2">
      <w:pPr>
        <w:pStyle w:val="3GPPHeader"/>
        <w:jc w:val="left"/>
        <w:rPr>
          <w:rFonts w:cs="Arial"/>
          <w:szCs w:val="24"/>
        </w:rPr>
      </w:pPr>
      <w:r w:rsidRPr="00652907">
        <w:rPr>
          <w:rFonts w:cs="Arial"/>
          <w:szCs w:val="24"/>
        </w:rPr>
        <w:t>Agenda Item:</w:t>
      </w:r>
      <w:r w:rsidRPr="00652907">
        <w:rPr>
          <w:rFonts w:cs="Arial"/>
          <w:szCs w:val="24"/>
        </w:rPr>
        <w:tab/>
        <w:t>8.</w:t>
      </w:r>
      <w:r w:rsidR="00221702" w:rsidRPr="00652907">
        <w:rPr>
          <w:rFonts w:cs="Arial"/>
          <w:szCs w:val="24"/>
        </w:rPr>
        <w:t>3</w:t>
      </w:r>
      <w:r w:rsidRPr="00652907">
        <w:rPr>
          <w:rFonts w:cs="Arial"/>
          <w:szCs w:val="24"/>
        </w:rPr>
        <w:t>.</w:t>
      </w:r>
      <w:r w:rsidR="00433EC8" w:rsidRPr="00652907">
        <w:rPr>
          <w:rFonts w:cs="Arial"/>
          <w:szCs w:val="24"/>
        </w:rPr>
        <w:t>2</w:t>
      </w:r>
      <w:r w:rsidR="008E256B">
        <w:rPr>
          <w:rFonts w:cs="Arial"/>
          <w:szCs w:val="24"/>
        </w:rPr>
        <w:t>.</w:t>
      </w:r>
      <w:r w:rsidR="00E2614D">
        <w:rPr>
          <w:rFonts w:cs="Arial"/>
          <w:szCs w:val="24"/>
        </w:rPr>
        <w:t>1</w:t>
      </w:r>
    </w:p>
    <w:p w14:paraId="2689A9BF" w14:textId="77777777" w:rsidR="00CA180F" w:rsidRPr="00652907" w:rsidRDefault="00CA180F" w:rsidP="00D268E2">
      <w:pPr>
        <w:pStyle w:val="3GPPHeader"/>
        <w:jc w:val="left"/>
        <w:rPr>
          <w:rFonts w:cs="Arial"/>
          <w:szCs w:val="24"/>
        </w:rPr>
      </w:pPr>
      <w:r w:rsidRPr="00652907">
        <w:rPr>
          <w:rFonts w:cs="Arial"/>
          <w:szCs w:val="24"/>
        </w:rPr>
        <w:t>Source:</w:t>
      </w:r>
      <w:r w:rsidRPr="00652907">
        <w:rPr>
          <w:rFonts w:cs="Arial"/>
          <w:szCs w:val="24"/>
        </w:rPr>
        <w:tab/>
        <w:t xml:space="preserve">InterDigital </w:t>
      </w:r>
      <w:r w:rsidR="00D17CAF" w:rsidRPr="00652907">
        <w:rPr>
          <w:rFonts w:cs="Arial"/>
          <w:szCs w:val="24"/>
        </w:rPr>
        <w:t>Inc</w:t>
      </w:r>
      <w:r w:rsidR="009E1624" w:rsidRPr="00652907">
        <w:rPr>
          <w:rFonts w:cs="Arial"/>
          <w:szCs w:val="24"/>
        </w:rPr>
        <w:t>.</w:t>
      </w:r>
    </w:p>
    <w:p w14:paraId="0A41D52A" w14:textId="19154D76" w:rsidR="00CA180F" w:rsidRPr="00652907" w:rsidRDefault="00CA180F" w:rsidP="00D268E2">
      <w:pPr>
        <w:pStyle w:val="3GPPHeader"/>
        <w:ind w:left="1710" w:hanging="1710"/>
        <w:jc w:val="left"/>
        <w:rPr>
          <w:rFonts w:cs="Arial"/>
          <w:color w:val="000000"/>
          <w:szCs w:val="24"/>
        </w:rPr>
      </w:pPr>
      <w:r w:rsidRPr="00652907">
        <w:rPr>
          <w:rFonts w:cs="Arial"/>
          <w:szCs w:val="24"/>
        </w:rPr>
        <w:t>Title:</w:t>
      </w:r>
      <w:r w:rsidRPr="00652907">
        <w:rPr>
          <w:rFonts w:cs="Arial"/>
          <w:szCs w:val="24"/>
        </w:rPr>
        <w:tab/>
      </w:r>
      <w:r w:rsidR="0016648D" w:rsidRPr="00652907">
        <w:rPr>
          <w:rFonts w:cs="Arial"/>
          <w:szCs w:val="24"/>
        </w:rPr>
        <w:t xml:space="preserve">Functionality management for UE sided model for </w:t>
      </w:r>
      <w:r w:rsidR="008B1D5A" w:rsidRPr="00652907">
        <w:rPr>
          <w:rFonts w:cs="Arial"/>
          <w:szCs w:val="24"/>
        </w:rPr>
        <w:t>RRM measurement prediction</w:t>
      </w:r>
    </w:p>
    <w:p w14:paraId="1A9B5865" w14:textId="77777777" w:rsidR="00CA180F" w:rsidRPr="00652907" w:rsidRDefault="00CA180F" w:rsidP="00D268E2">
      <w:pPr>
        <w:pStyle w:val="3GPPHeader"/>
        <w:jc w:val="left"/>
        <w:rPr>
          <w:rFonts w:cs="Arial"/>
          <w:szCs w:val="24"/>
        </w:rPr>
      </w:pPr>
      <w:r w:rsidRPr="00652907">
        <w:rPr>
          <w:rFonts w:cs="Arial"/>
          <w:szCs w:val="24"/>
        </w:rPr>
        <w:t>Document for:</w:t>
      </w:r>
      <w:r w:rsidRPr="00652907">
        <w:rPr>
          <w:rFonts w:cs="Arial"/>
          <w:szCs w:val="24"/>
        </w:rPr>
        <w:tab/>
        <w:t>Discussion</w:t>
      </w:r>
    </w:p>
    <w:p w14:paraId="3F41E63A" w14:textId="47EDF658" w:rsidR="00A15B67" w:rsidRPr="002C23C3" w:rsidRDefault="00A15B67" w:rsidP="00D268E2">
      <w:pPr>
        <w:pStyle w:val="Heading1"/>
        <w:tabs>
          <w:tab w:val="left" w:pos="6823"/>
        </w:tabs>
        <w:rPr>
          <w:sz w:val="32"/>
          <w:szCs w:val="32"/>
          <w:lang w:val="en-US"/>
        </w:rPr>
      </w:pPr>
      <w:r w:rsidRPr="002C23C3">
        <w:rPr>
          <w:sz w:val="32"/>
          <w:szCs w:val="32"/>
          <w:lang w:val="en-US"/>
        </w:rPr>
        <w:t xml:space="preserve">1. </w:t>
      </w:r>
      <w:r w:rsidRPr="002C23C3">
        <w:rPr>
          <w:lang w:val="en-US"/>
        </w:rPr>
        <w:t>Introduction</w:t>
      </w:r>
      <w:r w:rsidR="00145644">
        <w:rPr>
          <w:lang w:val="en-US"/>
        </w:rPr>
        <w:tab/>
      </w:r>
    </w:p>
    <w:p w14:paraId="2356BB36" w14:textId="0ED27186" w:rsidR="00145644" w:rsidRDefault="00CC530B" w:rsidP="00D268E2">
      <w:pPr>
        <w:jc w:val="left"/>
      </w:pPr>
      <w:r w:rsidRPr="00652907">
        <w:t>In RAN2</w:t>
      </w:r>
      <w:r w:rsidR="00145644">
        <w:t xml:space="preserve"> #</w:t>
      </w:r>
      <w:r w:rsidRPr="00652907">
        <w:t>1</w:t>
      </w:r>
      <w:r w:rsidR="008E256B">
        <w:t>30</w:t>
      </w:r>
      <w:r w:rsidRPr="00652907">
        <w:t>,</w:t>
      </w:r>
      <w:r w:rsidR="00145644">
        <w:t xml:space="preserve"> various agreements were made regarding various LCM aspects for the </w:t>
      </w:r>
      <w:r w:rsidR="00145644" w:rsidRPr="00652907">
        <w:t>AI/ML mobility</w:t>
      </w:r>
      <w:r w:rsidR="00145644">
        <w:t xml:space="preserve"> case, such as inference configuration and reporting, data collection for NW-side model and performance monitoring of UE-side model [1].</w:t>
      </w:r>
    </w:p>
    <w:p w14:paraId="72833800" w14:textId="68BD1942" w:rsidR="00DF0F9D" w:rsidRPr="00652907" w:rsidRDefault="00DF247F" w:rsidP="00D268E2">
      <w:pPr>
        <w:jc w:val="left"/>
      </w:pPr>
      <w:r w:rsidRPr="00652907">
        <w:t xml:space="preserve">In this contribution, we </w:t>
      </w:r>
      <w:r w:rsidR="00F06E60" w:rsidRPr="00652907">
        <w:t xml:space="preserve">discuss </w:t>
      </w:r>
      <w:r w:rsidR="001262CC" w:rsidRPr="00652907">
        <w:t xml:space="preserve">some of the open issues regarding </w:t>
      </w:r>
      <w:r w:rsidR="00145644">
        <w:t>various LCM and functionality management aspects</w:t>
      </w:r>
      <w:r w:rsidR="00FE0FEC" w:rsidRPr="00652907">
        <w:t xml:space="preserve"> for </w:t>
      </w:r>
      <w:r w:rsidR="00145644">
        <w:t xml:space="preserve">a </w:t>
      </w:r>
      <w:r w:rsidR="003F1D71">
        <w:t>UE</w:t>
      </w:r>
      <w:r w:rsidR="00145644">
        <w:t xml:space="preserve">-side </w:t>
      </w:r>
      <w:r w:rsidR="003F1D71">
        <w:t>model for RRM measurement prediction</w:t>
      </w:r>
      <w:r w:rsidR="00FE0FEC" w:rsidRPr="00652907">
        <w:t xml:space="preserve">. </w:t>
      </w:r>
    </w:p>
    <w:p w14:paraId="6AFFAF84" w14:textId="77777777" w:rsidR="00A15B67" w:rsidRPr="002C23C3" w:rsidRDefault="00A15B67" w:rsidP="00D268E2">
      <w:pPr>
        <w:pStyle w:val="Heading1"/>
        <w:rPr>
          <w:lang w:val="en-US"/>
        </w:rPr>
      </w:pPr>
      <w:r w:rsidRPr="002C23C3">
        <w:rPr>
          <w:sz w:val="32"/>
          <w:szCs w:val="32"/>
          <w:lang w:val="en-US"/>
        </w:rPr>
        <w:t xml:space="preserve">2. </w:t>
      </w:r>
      <w:r w:rsidRPr="002C23C3">
        <w:rPr>
          <w:lang w:val="en-US"/>
        </w:rPr>
        <w:t>Discussion</w:t>
      </w:r>
    </w:p>
    <w:p w14:paraId="2CAF8DD3" w14:textId="2DE4210A" w:rsidR="00675BCC" w:rsidRPr="002C23C3" w:rsidRDefault="002E0E90" w:rsidP="00D268E2">
      <w:pPr>
        <w:pStyle w:val="Heading3"/>
        <w:rPr>
          <w:lang w:eastAsia="en-GB"/>
        </w:rPr>
      </w:pPr>
      <w:r w:rsidRPr="002C23C3">
        <w:rPr>
          <w:lang w:val="en-US"/>
        </w:rPr>
        <w:t>2.</w:t>
      </w:r>
      <w:r w:rsidR="00C605A7" w:rsidRPr="002C23C3">
        <w:rPr>
          <w:lang w:val="en-US"/>
        </w:rPr>
        <w:t>1</w:t>
      </w:r>
      <w:r w:rsidRPr="002C23C3">
        <w:rPr>
          <w:lang w:val="en-US"/>
        </w:rPr>
        <w:t xml:space="preserve"> </w:t>
      </w:r>
      <w:r w:rsidR="00DA014B" w:rsidRPr="002C23C3">
        <w:rPr>
          <w:lang w:val="en-US"/>
        </w:rPr>
        <w:t>Inference</w:t>
      </w:r>
      <w:r w:rsidR="00176712">
        <w:rPr>
          <w:lang w:val="en-US"/>
        </w:rPr>
        <w:t xml:space="preserve"> output</w:t>
      </w:r>
      <w:r w:rsidR="00DA014B" w:rsidRPr="002C23C3">
        <w:rPr>
          <w:lang w:val="en-US"/>
        </w:rPr>
        <w:t xml:space="preserve"> </w:t>
      </w:r>
      <w:r w:rsidR="00152FED" w:rsidRPr="002C23C3">
        <w:rPr>
          <w:lang w:val="en-US"/>
        </w:rPr>
        <w:t>reporting</w:t>
      </w:r>
    </w:p>
    <w:p w14:paraId="68E90E3B" w14:textId="44EAC1DA" w:rsidR="003C78FE" w:rsidRPr="00652907" w:rsidRDefault="003C78FE" w:rsidP="00D268E2">
      <w:pPr>
        <w:tabs>
          <w:tab w:val="left" w:pos="1622"/>
        </w:tabs>
        <w:overflowPunct/>
        <w:autoSpaceDE/>
        <w:autoSpaceDN/>
        <w:adjustRightInd/>
        <w:spacing w:after="0"/>
        <w:jc w:val="left"/>
        <w:textAlignment w:val="auto"/>
        <w:rPr>
          <w:rFonts w:eastAsia="MS Mincho"/>
          <w:szCs w:val="24"/>
          <w:lang w:eastAsia="en-GB"/>
        </w:rPr>
      </w:pPr>
      <w:r w:rsidRPr="00652907">
        <w:rPr>
          <w:rFonts w:eastAsia="MS Mincho"/>
          <w:szCs w:val="24"/>
          <w:lang w:eastAsia="en-GB"/>
        </w:rPr>
        <w:t xml:space="preserve"> </w:t>
      </w:r>
    </w:p>
    <w:p w14:paraId="56C9B74B" w14:textId="7F0066EB" w:rsidR="00D0789E" w:rsidRPr="00652907" w:rsidRDefault="00D0789E" w:rsidP="00D268E2">
      <w:pPr>
        <w:tabs>
          <w:tab w:val="left" w:pos="1622"/>
        </w:tabs>
        <w:overflowPunct/>
        <w:autoSpaceDE/>
        <w:autoSpaceDN/>
        <w:adjustRightInd/>
        <w:spacing w:after="0"/>
        <w:jc w:val="left"/>
        <w:textAlignment w:val="auto"/>
        <w:rPr>
          <w:rFonts w:eastAsia="MS Mincho"/>
          <w:szCs w:val="24"/>
          <w:lang w:eastAsia="en-GB"/>
        </w:rPr>
      </w:pPr>
      <w:r w:rsidRPr="00652907">
        <w:rPr>
          <w:rFonts w:eastAsia="MS Mincho"/>
          <w:szCs w:val="24"/>
          <w:lang w:eastAsia="en-GB"/>
        </w:rPr>
        <w:t>Regarding</w:t>
      </w:r>
      <w:r w:rsidR="00380D8D">
        <w:rPr>
          <w:rFonts w:eastAsia="MS Mincho"/>
          <w:szCs w:val="24"/>
          <w:lang w:eastAsia="en-GB"/>
        </w:rPr>
        <w:t xml:space="preserve"> the</w:t>
      </w:r>
      <w:r w:rsidRPr="00652907">
        <w:rPr>
          <w:rFonts w:eastAsia="MS Mincho"/>
          <w:szCs w:val="24"/>
          <w:lang w:eastAsia="en-GB"/>
        </w:rPr>
        <w:t xml:space="preserve"> inference output and reporting for the case of RRM measurement prediction for temporal </w:t>
      </w:r>
      <w:r>
        <w:rPr>
          <w:rFonts w:eastAsia="MS Mincho"/>
          <w:szCs w:val="24"/>
          <w:lang w:eastAsia="en-GB"/>
        </w:rPr>
        <w:t xml:space="preserve">domain </w:t>
      </w:r>
      <w:r w:rsidRPr="00652907">
        <w:rPr>
          <w:rFonts w:eastAsia="MS Mincho"/>
          <w:szCs w:val="24"/>
          <w:lang w:eastAsia="en-GB"/>
        </w:rPr>
        <w:t>case B and frequency domain prediction, the legacy RRM measurement reporting configuration can be reused</w:t>
      </w:r>
      <w:r>
        <w:rPr>
          <w:rFonts w:eastAsia="MS Mincho"/>
          <w:szCs w:val="24"/>
          <w:lang w:eastAsia="en-GB"/>
        </w:rPr>
        <w:t xml:space="preserve">, </w:t>
      </w:r>
      <w:r w:rsidRPr="00652907">
        <w:rPr>
          <w:rFonts w:eastAsia="MS Mincho"/>
          <w:szCs w:val="24"/>
          <w:lang w:eastAsia="en-GB"/>
        </w:rPr>
        <w:t xml:space="preserve">as the aim is to reduce the measurements to be performed by the UE. </w:t>
      </w:r>
      <w:r w:rsidR="00413F22">
        <w:rPr>
          <w:rFonts w:eastAsia="MS Mincho"/>
          <w:szCs w:val="24"/>
          <w:lang w:eastAsia="en-GB"/>
        </w:rPr>
        <w:t xml:space="preserve">For example, the UE may report the most recent sample it has available (measured or predicted). </w:t>
      </w:r>
      <w:r w:rsidRPr="00652907">
        <w:rPr>
          <w:rFonts w:eastAsia="MS Mincho"/>
          <w:szCs w:val="24"/>
          <w:lang w:eastAsia="en-GB"/>
        </w:rPr>
        <w:t xml:space="preserve">However, for temporal </w:t>
      </w:r>
      <w:r>
        <w:rPr>
          <w:rFonts w:eastAsia="MS Mincho"/>
          <w:szCs w:val="24"/>
          <w:lang w:eastAsia="en-GB"/>
        </w:rPr>
        <w:t xml:space="preserve">domain </w:t>
      </w:r>
      <w:r w:rsidRPr="00652907">
        <w:rPr>
          <w:rFonts w:eastAsia="MS Mincho"/>
          <w:szCs w:val="24"/>
          <w:lang w:eastAsia="en-GB"/>
        </w:rPr>
        <w:t xml:space="preserve">case A, enhancements are needed to configure the UE regarding </w:t>
      </w:r>
      <w:r>
        <w:rPr>
          <w:rFonts w:eastAsia="MS Mincho"/>
          <w:szCs w:val="24"/>
          <w:lang w:eastAsia="en-GB"/>
        </w:rPr>
        <w:t xml:space="preserve">which predicted </w:t>
      </w:r>
      <w:r w:rsidRPr="00652907">
        <w:rPr>
          <w:rFonts w:eastAsia="MS Mincho"/>
          <w:szCs w:val="24"/>
          <w:lang w:eastAsia="en-GB"/>
        </w:rPr>
        <w:t>results the UE can report.</w:t>
      </w:r>
      <w:r>
        <w:rPr>
          <w:rFonts w:eastAsia="MS Mincho"/>
          <w:szCs w:val="24"/>
          <w:lang w:eastAsia="en-GB"/>
        </w:rPr>
        <w:t xml:space="preserve"> For example, the UE may be configured to report the predicted samples within the whole </w:t>
      </w:r>
      <w:r w:rsidR="00380D8D">
        <w:rPr>
          <w:rFonts w:eastAsia="MS Mincho"/>
          <w:szCs w:val="24"/>
          <w:lang w:eastAsia="en-GB"/>
        </w:rPr>
        <w:t>prediction</w:t>
      </w:r>
      <w:r>
        <w:rPr>
          <w:rFonts w:eastAsia="MS Mincho"/>
          <w:szCs w:val="24"/>
          <w:lang w:eastAsia="en-GB"/>
        </w:rPr>
        <w:t xml:space="preserve"> window</w:t>
      </w:r>
      <w:r w:rsidR="00380D8D">
        <w:rPr>
          <w:rFonts w:eastAsia="MS Mincho"/>
          <w:szCs w:val="24"/>
          <w:lang w:eastAsia="en-GB"/>
        </w:rPr>
        <w:t xml:space="preserve"> (PW)</w:t>
      </w:r>
      <w:r>
        <w:rPr>
          <w:rFonts w:eastAsia="MS Mincho"/>
          <w:szCs w:val="24"/>
          <w:lang w:eastAsia="en-GB"/>
        </w:rPr>
        <w:t xml:space="preserve">, the last predicted sample, some statistical information of the samples within the </w:t>
      </w:r>
      <w:r w:rsidR="00380D8D">
        <w:rPr>
          <w:rFonts w:eastAsia="MS Mincho"/>
          <w:szCs w:val="24"/>
          <w:lang w:eastAsia="en-GB"/>
        </w:rPr>
        <w:t>PW</w:t>
      </w:r>
      <w:r>
        <w:rPr>
          <w:rFonts w:eastAsia="MS Mincho"/>
          <w:szCs w:val="24"/>
          <w:lang w:eastAsia="en-GB"/>
        </w:rPr>
        <w:t xml:space="preserve"> (e.g., the average of the samples), or a combination of th</w:t>
      </w:r>
      <w:r w:rsidR="00D268E2">
        <w:rPr>
          <w:rFonts w:eastAsia="MS Mincho"/>
          <w:szCs w:val="24"/>
          <w:lang w:eastAsia="en-GB"/>
        </w:rPr>
        <w:t>ese.</w:t>
      </w:r>
    </w:p>
    <w:p w14:paraId="5ED88A80" w14:textId="77777777" w:rsidR="00BA2816" w:rsidRPr="00652907" w:rsidRDefault="00BA2816" w:rsidP="00D268E2">
      <w:pPr>
        <w:tabs>
          <w:tab w:val="left" w:pos="1622"/>
        </w:tabs>
        <w:overflowPunct/>
        <w:autoSpaceDE/>
        <w:autoSpaceDN/>
        <w:adjustRightInd/>
        <w:spacing w:after="0"/>
        <w:jc w:val="left"/>
        <w:textAlignment w:val="auto"/>
        <w:rPr>
          <w:rFonts w:eastAsia="MS Mincho"/>
          <w:szCs w:val="24"/>
          <w:lang w:eastAsia="en-GB"/>
        </w:rPr>
      </w:pPr>
    </w:p>
    <w:p w14:paraId="00895295" w14:textId="2B0E04AF" w:rsidR="00413F22" w:rsidRPr="00D268E2" w:rsidRDefault="00D0789E" w:rsidP="00D268E2">
      <w:pPr>
        <w:tabs>
          <w:tab w:val="left" w:pos="1377"/>
        </w:tabs>
        <w:ind w:left="1354" w:hanging="1354"/>
        <w:jc w:val="left"/>
        <w:rPr>
          <w:rFonts w:cs="Arial"/>
          <w:bCs/>
          <w:i/>
          <w:iCs/>
        </w:rPr>
      </w:pPr>
      <w:r w:rsidRPr="00733CA5">
        <w:rPr>
          <w:rFonts w:cs="Arial"/>
          <w:bCs/>
          <w:i/>
          <w:iCs/>
        </w:rPr>
        <w:t xml:space="preserve">Observation </w:t>
      </w:r>
      <w:r w:rsidR="00176712">
        <w:rPr>
          <w:rFonts w:cs="Arial"/>
          <w:bCs/>
          <w:i/>
          <w:iCs/>
        </w:rPr>
        <w:t>1</w:t>
      </w:r>
      <w:r w:rsidRPr="00733CA5">
        <w:rPr>
          <w:rFonts w:cs="Arial"/>
          <w:bCs/>
          <w:i/>
          <w:iCs/>
        </w:rPr>
        <w:t xml:space="preserve">: </w:t>
      </w:r>
      <w:r>
        <w:rPr>
          <w:rFonts w:cs="Arial"/>
          <w:bCs/>
          <w:i/>
          <w:iCs/>
        </w:rPr>
        <w:t>The UE may have multiple predict</w:t>
      </w:r>
      <w:r w:rsidR="00A32E11">
        <w:rPr>
          <w:rFonts w:cs="Arial"/>
          <w:bCs/>
          <w:i/>
          <w:iCs/>
        </w:rPr>
        <w:t>ed samples</w:t>
      </w:r>
      <w:r>
        <w:rPr>
          <w:rFonts w:cs="Arial"/>
          <w:bCs/>
          <w:i/>
          <w:iCs/>
        </w:rPr>
        <w:t xml:space="preserve"> available to report</w:t>
      </w:r>
      <w:r w:rsidR="00A371F9">
        <w:rPr>
          <w:rFonts w:cs="Arial"/>
          <w:bCs/>
          <w:i/>
          <w:iCs/>
        </w:rPr>
        <w:t xml:space="preserve"> for a given cell/beam</w:t>
      </w:r>
      <w:r w:rsidR="000B56FE">
        <w:rPr>
          <w:rFonts w:cs="Arial"/>
          <w:bCs/>
          <w:i/>
          <w:iCs/>
        </w:rPr>
        <w:t>.</w:t>
      </w:r>
    </w:p>
    <w:p w14:paraId="7CA7B026" w14:textId="77777777" w:rsidR="00824264" w:rsidRPr="00652907" w:rsidRDefault="00824264" w:rsidP="00D268E2">
      <w:pPr>
        <w:tabs>
          <w:tab w:val="left" w:pos="1622"/>
        </w:tabs>
        <w:overflowPunct/>
        <w:autoSpaceDE/>
        <w:autoSpaceDN/>
        <w:adjustRightInd/>
        <w:spacing w:after="0"/>
        <w:jc w:val="left"/>
        <w:textAlignment w:val="auto"/>
        <w:rPr>
          <w:rFonts w:eastAsia="MS Mincho"/>
          <w:szCs w:val="24"/>
          <w:lang w:eastAsia="en-GB"/>
        </w:rPr>
      </w:pPr>
    </w:p>
    <w:p w14:paraId="5AA4E540" w14:textId="1501993A" w:rsidR="00176712" w:rsidRPr="00652907" w:rsidRDefault="00654D3D" w:rsidP="00D268E2">
      <w:pPr>
        <w:tabs>
          <w:tab w:val="left" w:pos="1622"/>
        </w:tabs>
        <w:overflowPunct/>
        <w:autoSpaceDE/>
        <w:autoSpaceDN/>
        <w:adjustRightInd/>
        <w:spacing w:after="0"/>
        <w:jc w:val="left"/>
        <w:textAlignment w:val="auto"/>
        <w:rPr>
          <w:rFonts w:eastAsia="MS Mincho"/>
          <w:szCs w:val="24"/>
          <w:lang w:eastAsia="en-GB"/>
        </w:rPr>
      </w:pPr>
      <w:r w:rsidRPr="00652907">
        <w:rPr>
          <w:rFonts w:eastAsia="MS Mincho"/>
          <w:szCs w:val="24"/>
          <w:lang w:eastAsia="en-GB"/>
        </w:rPr>
        <w:t xml:space="preserve">Based on the discussion above, we propose the following regarding the </w:t>
      </w:r>
      <w:r w:rsidR="00176712">
        <w:rPr>
          <w:rFonts w:eastAsia="MS Mincho"/>
          <w:szCs w:val="24"/>
          <w:lang w:eastAsia="en-GB"/>
        </w:rPr>
        <w:t>inference output</w:t>
      </w:r>
      <w:r w:rsidR="00176712" w:rsidRPr="00652907">
        <w:rPr>
          <w:rFonts w:eastAsia="MS Mincho"/>
          <w:szCs w:val="24"/>
          <w:lang w:eastAsia="en-GB"/>
        </w:rPr>
        <w:t xml:space="preserve"> </w:t>
      </w:r>
      <w:r w:rsidR="00413F22">
        <w:rPr>
          <w:rFonts w:eastAsia="MS Mincho"/>
          <w:szCs w:val="24"/>
          <w:lang w:eastAsia="en-GB"/>
        </w:rPr>
        <w:t>reporting:</w:t>
      </w:r>
    </w:p>
    <w:p w14:paraId="6FC0437F" w14:textId="77777777" w:rsidR="00C044D1" w:rsidRPr="00652907" w:rsidRDefault="00C044D1" w:rsidP="00D268E2">
      <w:pPr>
        <w:tabs>
          <w:tab w:val="left" w:pos="1622"/>
        </w:tabs>
        <w:overflowPunct/>
        <w:autoSpaceDE/>
        <w:autoSpaceDN/>
        <w:adjustRightInd/>
        <w:spacing w:after="0"/>
        <w:jc w:val="left"/>
        <w:textAlignment w:val="auto"/>
        <w:rPr>
          <w:rFonts w:eastAsia="MS Mincho"/>
          <w:szCs w:val="24"/>
          <w:lang w:eastAsia="en-GB"/>
        </w:rPr>
      </w:pPr>
    </w:p>
    <w:p w14:paraId="3916849B" w14:textId="3BA3E883" w:rsidR="00413F22" w:rsidRDefault="00413F22" w:rsidP="00D268E2">
      <w:pPr>
        <w:tabs>
          <w:tab w:val="left" w:pos="1377"/>
        </w:tabs>
        <w:ind w:left="1170" w:hanging="1170"/>
        <w:jc w:val="left"/>
        <w:rPr>
          <w:rFonts w:cs="Arial"/>
          <w:b/>
        </w:rPr>
      </w:pPr>
      <w:r w:rsidRPr="002C23C3">
        <w:rPr>
          <w:rFonts w:cs="Arial"/>
          <w:b/>
        </w:rPr>
        <w:t xml:space="preserve">Proposal </w:t>
      </w:r>
      <w:r w:rsidR="00176712">
        <w:rPr>
          <w:rFonts w:cs="Arial"/>
          <w:b/>
        </w:rPr>
        <w:t>1</w:t>
      </w:r>
      <w:r w:rsidRPr="002C23C3">
        <w:rPr>
          <w:rFonts w:cs="Arial"/>
          <w:b/>
        </w:rPr>
        <w:t>: For temporal domain case B</w:t>
      </w:r>
      <w:r w:rsidRPr="00652907">
        <w:rPr>
          <w:rFonts w:cs="Arial"/>
          <w:b/>
        </w:rPr>
        <w:t xml:space="preserve"> and</w:t>
      </w:r>
      <w:r w:rsidRPr="002C23C3">
        <w:rPr>
          <w:rFonts w:cs="Arial"/>
          <w:b/>
        </w:rPr>
        <w:t xml:space="preserve"> frequency domain</w:t>
      </w:r>
      <w:r w:rsidRPr="00652907">
        <w:rPr>
          <w:rFonts w:cs="Arial"/>
          <w:b/>
        </w:rPr>
        <w:t xml:space="preserve"> RRM measurement prediction</w:t>
      </w:r>
      <w:r w:rsidR="00662E97">
        <w:rPr>
          <w:rFonts w:cs="Arial"/>
          <w:b/>
        </w:rPr>
        <w:t>s</w:t>
      </w:r>
      <w:r w:rsidRPr="002C23C3">
        <w:rPr>
          <w:rFonts w:cs="Arial"/>
          <w:b/>
        </w:rPr>
        <w:t>,</w:t>
      </w:r>
      <w:r w:rsidRPr="00652907">
        <w:rPr>
          <w:rFonts w:cs="Arial"/>
          <w:b/>
        </w:rPr>
        <w:t xml:space="preserve"> </w:t>
      </w:r>
      <w:r>
        <w:rPr>
          <w:rFonts w:cs="Arial"/>
          <w:b/>
        </w:rPr>
        <w:t xml:space="preserve">the </w:t>
      </w:r>
      <w:r w:rsidRPr="00652907">
        <w:rPr>
          <w:rFonts w:cs="Arial"/>
          <w:b/>
        </w:rPr>
        <w:t>legacy RRM measurement reporting configuration can be reused.</w:t>
      </w:r>
    </w:p>
    <w:p w14:paraId="52F46C3A" w14:textId="45CA4D99" w:rsidR="00A371F9" w:rsidRDefault="00413F22" w:rsidP="00D268E2">
      <w:pPr>
        <w:tabs>
          <w:tab w:val="left" w:pos="1377"/>
        </w:tabs>
        <w:ind w:left="1170" w:hanging="1170"/>
        <w:jc w:val="left"/>
        <w:rPr>
          <w:rFonts w:cs="Arial"/>
          <w:b/>
        </w:rPr>
      </w:pPr>
      <w:r w:rsidRPr="002C23C3">
        <w:rPr>
          <w:rFonts w:cs="Arial"/>
          <w:b/>
        </w:rPr>
        <w:t xml:space="preserve">Proposal </w:t>
      </w:r>
      <w:r w:rsidR="00176712">
        <w:rPr>
          <w:rFonts w:cs="Arial"/>
          <w:b/>
        </w:rPr>
        <w:t>2</w:t>
      </w:r>
      <w:r w:rsidRPr="002C23C3">
        <w:rPr>
          <w:rFonts w:cs="Arial"/>
          <w:b/>
        </w:rPr>
        <w:t xml:space="preserve">: For temporal domain case </w:t>
      </w:r>
      <w:r w:rsidRPr="00652907">
        <w:rPr>
          <w:rFonts w:cs="Arial"/>
          <w:b/>
        </w:rPr>
        <w:t xml:space="preserve">A RRM measurement prediction, </w:t>
      </w:r>
      <w:r w:rsidR="00A801B5">
        <w:rPr>
          <w:rFonts w:cs="Arial"/>
          <w:b/>
        </w:rPr>
        <w:t xml:space="preserve">the following </w:t>
      </w:r>
      <w:r w:rsidRPr="00652907">
        <w:rPr>
          <w:rFonts w:cs="Arial"/>
          <w:b/>
        </w:rPr>
        <w:t xml:space="preserve">enhancements are needed </w:t>
      </w:r>
      <w:r>
        <w:rPr>
          <w:rFonts w:cs="Arial"/>
          <w:b/>
        </w:rPr>
        <w:t>to the legacy RRM measurement reporting configuration</w:t>
      </w:r>
      <w:r w:rsidR="00A371F9">
        <w:rPr>
          <w:rFonts w:cs="Arial"/>
          <w:b/>
        </w:rPr>
        <w:t>:</w:t>
      </w:r>
    </w:p>
    <w:p w14:paraId="0BAB3149" w14:textId="6E57A3F4" w:rsidR="00A371F9" w:rsidRDefault="00A371F9" w:rsidP="00D268E2">
      <w:pPr>
        <w:pStyle w:val="ListParagraph"/>
        <w:numPr>
          <w:ilvl w:val="0"/>
          <w:numId w:val="59"/>
        </w:numPr>
        <w:tabs>
          <w:tab w:val="left" w:pos="1377"/>
        </w:tabs>
        <w:jc w:val="left"/>
        <w:rPr>
          <w:rFonts w:cs="Arial"/>
          <w:b/>
        </w:rPr>
      </w:pPr>
      <w:r w:rsidRPr="00D268E2">
        <w:rPr>
          <w:rFonts w:cs="Arial"/>
          <w:b/>
        </w:rPr>
        <w:t>To allow the reporting of multiple RRM measurement samples for a given cell/beam</w:t>
      </w:r>
      <w:r w:rsidR="007B4FE9">
        <w:rPr>
          <w:rFonts w:cs="Arial"/>
          <w:b/>
        </w:rPr>
        <w:t>.</w:t>
      </w:r>
    </w:p>
    <w:p w14:paraId="17AAE4D0" w14:textId="16AE7EFE" w:rsidR="00413F22" w:rsidRPr="00D268E2" w:rsidRDefault="00A371F9" w:rsidP="00D268E2">
      <w:pPr>
        <w:pStyle w:val="ListParagraph"/>
        <w:numPr>
          <w:ilvl w:val="0"/>
          <w:numId w:val="59"/>
        </w:numPr>
        <w:tabs>
          <w:tab w:val="left" w:pos="1377"/>
        </w:tabs>
        <w:jc w:val="left"/>
        <w:rPr>
          <w:rFonts w:cs="Arial"/>
          <w:b/>
        </w:rPr>
      </w:pPr>
      <w:r>
        <w:rPr>
          <w:rFonts w:cs="Arial"/>
          <w:b/>
        </w:rPr>
        <w:t>T</w:t>
      </w:r>
      <w:r w:rsidRPr="00D268E2">
        <w:rPr>
          <w:rFonts w:cs="Arial"/>
          <w:b/>
        </w:rPr>
        <w:t xml:space="preserve">o control </w:t>
      </w:r>
      <w:r w:rsidR="00413F22" w:rsidRPr="00D268E2">
        <w:rPr>
          <w:rFonts w:cs="Arial"/>
          <w:b/>
        </w:rPr>
        <w:t xml:space="preserve">the content of the reporting (detailed </w:t>
      </w:r>
      <w:r w:rsidR="00157CC6">
        <w:rPr>
          <w:rFonts w:cs="Arial"/>
          <w:b/>
        </w:rPr>
        <w:t>vs</w:t>
      </w:r>
      <w:r w:rsidR="00413F22" w:rsidRPr="00D268E2">
        <w:rPr>
          <w:rFonts w:cs="Arial"/>
          <w:b/>
        </w:rPr>
        <w:t xml:space="preserve"> </w:t>
      </w:r>
      <w:r w:rsidR="00157CC6">
        <w:rPr>
          <w:rFonts w:cs="Arial"/>
          <w:b/>
        </w:rPr>
        <w:t>summarized</w:t>
      </w:r>
      <w:r w:rsidR="00413F22" w:rsidRPr="00D268E2">
        <w:rPr>
          <w:rFonts w:cs="Arial"/>
          <w:b/>
        </w:rPr>
        <w:t xml:space="preserve"> information about the predicted samples).</w:t>
      </w:r>
    </w:p>
    <w:p w14:paraId="1FE9FB0B" w14:textId="77777777" w:rsidR="003567F4" w:rsidRPr="008211AF" w:rsidRDefault="003567F4" w:rsidP="00D268E2">
      <w:pPr>
        <w:jc w:val="left"/>
        <w:rPr>
          <w:lang w:val="en-GB"/>
        </w:rPr>
      </w:pPr>
    </w:p>
    <w:p w14:paraId="7334DEBE" w14:textId="20AEB3CF" w:rsidR="002E0E90" w:rsidRPr="002C23C3" w:rsidRDefault="002E0E90" w:rsidP="00D268E2">
      <w:pPr>
        <w:pStyle w:val="Heading3"/>
        <w:rPr>
          <w:lang w:val="en-US"/>
        </w:rPr>
      </w:pPr>
      <w:r w:rsidRPr="002C23C3">
        <w:rPr>
          <w:lang w:val="en-US"/>
        </w:rPr>
        <w:t>2.</w:t>
      </w:r>
      <w:r w:rsidR="00403682" w:rsidRPr="002C23C3">
        <w:rPr>
          <w:lang w:val="en-US"/>
        </w:rPr>
        <w:t>2</w:t>
      </w:r>
      <w:r w:rsidR="00C8050F" w:rsidRPr="002C23C3">
        <w:rPr>
          <w:lang w:val="en-US"/>
        </w:rPr>
        <w:t xml:space="preserve"> Applicability determination</w:t>
      </w:r>
      <w:r w:rsidRPr="002C23C3">
        <w:rPr>
          <w:lang w:val="en-US"/>
        </w:rPr>
        <w:t xml:space="preserve"> </w:t>
      </w:r>
      <w:r w:rsidR="005D0BF9" w:rsidRPr="002C23C3">
        <w:rPr>
          <w:lang w:val="en-US"/>
        </w:rPr>
        <w:t>and reporting</w:t>
      </w:r>
    </w:p>
    <w:p w14:paraId="4BE078AB" w14:textId="42EC1996" w:rsidR="00D66DC8" w:rsidRDefault="00986C3A" w:rsidP="008211AF">
      <w:pPr>
        <w:jc w:val="left"/>
        <w:rPr>
          <w:rFonts w:eastAsia="MS Mincho"/>
          <w:i/>
          <w:iCs/>
          <w:szCs w:val="24"/>
          <w:lang w:eastAsia="en-GB"/>
        </w:rPr>
      </w:pPr>
      <w:r w:rsidRPr="00652907">
        <w:rPr>
          <w:rFonts w:eastAsia="DengXian"/>
        </w:rPr>
        <w:t xml:space="preserve">Regarding the </w:t>
      </w:r>
      <w:r w:rsidR="00D66DC8">
        <w:rPr>
          <w:rFonts w:eastAsia="DengXian"/>
        </w:rPr>
        <w:t>applicability determination</w:t>
      </w:r>
      <w:r w:rsidRPr="00652907">
        <w:rPr>
          <w:rFonts w:eastAsia="DengXian"/>
        </w:rPr>
        <w:t xml:space="preserve"> for the AIML mobility use case, the following was agreed in RAN2</w:t>
      </w:r>
      <w:r w:rsidR="00AF0871">
        <w:rPr>
          <w:rFonts w:eastAsia="DengXian"/>
        </w:rPr>
        <w:t xml:space="preserve"> #</w:t>
      </w:r>
      <w:r w:rsidR="00D66DC8">
        <w:rPr>
          <w:rFonts w:eastAsia="DengXian"/>
        </w:rPr>
        <w:t>130</w:t>
      </w:r>
      <w:r w:rsidR="00D66DC8" w:rsidRPr="00652907">
        <w:rPr>
          <w:rFonts w:eastAsia="DengXian"/>
        </w:rPr>
        <w:t xml:space="preserve"> </w:t>
      </w:r>
      <w:r w:rsidRPr="00652907">
        <w:rPr>
          <w:rFonts w:eastAsia="DengXian"/>
        </w:rPr>
        <w:t>[1]:</w:t>
      </w:r>
    </w:p>
    <w:tbl>
      <w:tblPr>
        <w:tblStyle w:val="TableGrid"/>
        <w:tblW w:w="0" w:type="auto"/>
        <w:tblLook w:val="04A0" w:firstRow="1" w:lastRow="0" w:firstColumn="1" w:lastColumn="0" w:noHBand="0" w:noVBand="1"/>
      </w:tblPr>
      <w:tblGrid>
        <w:gridCol w:w="9629"/>
      </w:tblGrid>
      <w:tr w:rsidR="00D66DC8" w14:paraId="17469378" w14:textId="77777777">
        <w:tc>
          <w:tcPr>
            <w:tcW w:w="9629" w:type="dxa"/>
          </w:tcPr>
          <w:p w14:paraId="3F4F3CBE" w14:textId="77777777" w:rsidR="00D66DC8" w:rsidRPr="002A0C58" w:rsidRDefault="00D66DC8" w:rsidP="00D268E2">
            <w:pPr>
              <w:pStyle w:val="Doc-text2"/>
              <w:numPr>
                <w:ilvl w:val="0"/>
                <w:numId w:val="45"/>
              </w:numPr>
              <w:ind w:left="360"/>
              <w:rPr>
                <w:i/>
                <w:iCs/>
              </w:rPr>
            </w:pPr>
            <w:r w:rsidRPr="002A0C58">
              <w:rPr>
                <w:i/>
                <w:iCs/>
              </w:rPr>
              <w:lastRenderedPageBreak/>
              <w:t xml:space="preserve">Use the beam management agreements as the baseline, including the following aspects (details can be updated after further progress is made in AI/ML PHY BM use case) </w:t>
            </w:r>
          </w:p>
          <w:p w14:paraId="5DDA0CCE" w14:textId="77777777" w:rsidR="00D66DC8" w:rsidRPr="002A0C58" w:rsidRDefault="00D66DC8" w:rsidP="00D268E2">
            <w:pPr>
              <w:pStyle w:val="Doc-text2"/>
              <w:ind w:left="723"/>
              <w:rPr>
                <w:i/>
                <w:iCs/>
              </w:rPr>
            </w:pPr>
            <w:r w:rsidRPr="002A0C58">
              <w:rPr>
                <w:i/>
                <w:iCs/>
              </w:rPr>
              <w:t>•</w:t>
            </w:r>
            <w:r w:rsidRPr="002A0C58">
              <w:rPr>
                <w:i/>
                <w:iCs/>
              </w:rPr>
              <w:tab/>
              <w:t>Consider Option A and Option B like scheme (if/when AI/ML PHY makes further progress)</w:t>
            </w:r>
          </w:p>
          <w:p w14:paraId="112A1521" w14:textId="77777777" w:rsidR="00D66DC8" w:rsidRPr="002A0C58" w:rsidRDefault="00D66DC8" w:rsidP="00D268E2">
            <w:pPr>
              <w:pStyle w:val="Doc-text2"/>
              <w:ind w:left="723"/>
              <w:rPr>
                <w:i/>
                <w:iCs/>
              </w:rPr>
            </w:pPr>
            <w:r w:rsidRPr="002A0C58">
              <w:rPr>
                <w:i/>
                <w:iCs/>
              </w:rPr>
              <w:t>•</w:t>
            </w:r>
            <w:r w:rsidRPr="002A0C58">
              <w:rPr>
                <w:i/>
                <w:iCs/>
              </w:rPr>
              <w:tab/>
              <w:t>Upon receiving a full inference configuration, the UE sends the initial applicability report in RRCReconfigurationComplete. UAI can be sent to update applicability.</w:t>
            </w:r>
          </w:p>
          <w:p w14:paraId="167941BF" w14:textId="16A48B41" w:rsidR="00D66DC8" w:rsidRPr="002A0C58" w:rsidRDefault="00D66DC8" w:rsidP="00D268E2">
            <w:pPr>
              <w:pStyle w:val="Doc-text2"/>
              <w:ind w:left="723"/>
              <w:rPr>
                <w:i/>
                <w:iCs/>
              </w:rPr>
            </w:pPr>
            <w:r w:rsidRPr="002A0C58">
              <w:rPr>
                <w:i/>
                <w:iCs/>
              </w:rPr>
              <w:t>•</w:t>
            </w:r>
            <w:r w:rsidRPr="002A0C58">
              <w:rPr>
                <w:i/>
                <w:iCs/>
              </w:rPr>
              <w:tab/>
              <w:t xml:space="preserve">Upon receiving one or more full inference configuration(s) via RRCReconfiguration message, UE shall maintain all the full inference configuration(s) no </w:t>
            </w:r>
            <w:r w:rsidR="005E74AC" w:rsidRPr="002A0C58">
              <w:rPr>
                <w:i/>
                <w:iCs/>
              </w:rPr>
              <w:t>matter if</w:t>
            </w:r>
            <w:r w:rsidRPr="002A0C58">
              <w:rPr>
                <w:i/>
                <w:iCs/>
              </w:rPr>
              <w:t xml:space="preserve"> the full inference configuration is applicable or inapplicable until the network releases it explicitly.</w:t>
            </w:r>
          </w:p>
          <w:p w14:paraId="44DBFD0D" w14:textId="77777777" w:rsidR="00D66DC8" w:rsidRPr="002A0C58" w:rsidRDefault="00D66DC8" w:rsidP="00D268E2">
            <w:pPr>
              <w:pStyle w:val="Doc-text2"/>
              <w:ind w:left="723"/>
              <w:rPr>
                <w:i/>
                <w:iCs/>
              </w:rPr>
            </w:pPr>
            <w:r w:rsidRPr="002A0C58">
              <w:rPr>
                <w:i/>
                <w:iCs/>
              </w:rPr>
              <w:t>•</w:t>
            </w:r>
            <w:r w:rsidRPr="002A0C58">
              <w:rPr>
                <w:i/>
                <w:iCs/>
              </w:rPr>
              <w:tab/>
              <w:t>Support the explicit reporting of applicability/inapplicability in the initial report and subsequent reporting when the applicability changes.</w:t>
            </w:r>
          </w:p>
          <w:p w14:paraId="4687AC32" w14:textId="77777777" w:rsidR="00D66DC8" w:rsidRPr="002A0C58" w:rsidRDefault="00D66DC8" w:rsidP="00D268E2">
            <w:pPr>
              <w:pStyle w:val="Doc-text2"/>
              <w:ind w:left="723"/>
              <w:rPr>
                <w:i/>
                <w:iCs/>
              </w:rPr>
            </w:pPr>
            <w:r w:rsidRPr="002A0C58">
              <w:rPr>
                <w:i/>
                <w:iCs/>
              </w:rPr>
              <w:t>•</w:t>
            </w:r>
            <w:r w:rsidRPr="002A0C58">
              <w:rPr>
                <w:i/>
                <w:iCs/>
              </w:rPr>
              <w:tab/>
              <w:t>Together with inapplicability reporting, UE further indicates a simple cause value of inapplicability (FFS pending AI/ML PHY progress).</w:t>
            </w:r>
          </w:p>
          <w:p w14:paraId="5DE5D726" w14:textId="77777777" w:rsidR="00D66DC8" w:rsidRPr="002A0C58" w:rsidRDefault="00D66DC8" w:rsidP="00D268E2">
            <w:pPr>
              <w:pStyle w:val="Doc-text2"/>
              <w:ind w:left="723"/>
              <w:rPr>
                <w:i/>
                <w:iCs/>
              </w:rPr>
            </w:pPr>
            <w:r w:rsidRPr="002A0C58">
              <w:rPr>
                <w:i/>
                <w:iCs/>
              </w:rPr>
              <w:t>•</w:t>
            </w:r>
            <w:r w:rsidRPr="002A0C58">
              <w:rPr>
                <w:i/>
                <w:iCs/>
              </w:rPr>
              <w:tab/>
              <w:t>No prohibit timer is introduced.</w:t>
            </w:r>
          </w:p>
          <w:p w14:paraId="396949F2" w14:textId="68CC07CA" w:rsidR="00D66DC8" w:rsidRPr="00D268E2" w:rsidRDefault="00D66DC8" w:rsidP="00D268E2">
            <w:pPr>
              <w:pStyle w:val="Agreement"/>
              <w:numPr>
                <w:ilvl w:val="0"/>
                <w:numId w:val="46"/>
              </w:numPr>
              <w:tabs>
                <w:tab w:val="clear" w:pos="1619"/>
              </w:tabs>
              <w:ind w:left="361"/>
              <w:rPr>
                <w:i/>
                <w:iCs/>
              </w:rPr>
            </w:pPr>
            <w:r w:rsidRPr="00D268E2">
              <w:rPr>
                <w:b w:val="0"/>
                <w:i/>
                <w:iCs/>
                <w:highlight w:val="yellow"/>
              </w:rPr>
              <w:t xml:space="preserve">Associated ID should be optionally configurable for training </w:t>
            </w:r>
            <w:r w:rsidR="005E74AC" w:rsidRPr="00D268E2">
              <w:rPr>
                <w:b w:val="0"/>
                <w:i/>
                <w:iCs/>
                <w:highlight w:val="yellow"/>
              </w:rPr>
              <w:t>and inference</w:t>
            </w:r>
            <w:r w:rsidRPr="00D268E2">
              <w:rPr>
                <w:b w:val="0"/>
                <w:i/>
                <w:iCs/>
                <w:highlight w:val="yellow"/>
              </w:rPr>
              <w:t xml:space="preserve"> (i.e. it may not </w:t>
            </w:r>
            <w:r w:rsidR="005E74AC" w:rsidRPr="00D268E2">
              <w:rPr>
                <w:b w:val="0"/>
                <w:i/>
                <w:iCs/>
                <w:highlight w:val="yellow"/>
              </w:rPr>
              <w:t>be mandatorily</w:t>
            </w:r>
            <w:r w:rsidRPr="00D268E2">
              <w:rPr>
                <w:b w:val="0"/>
                <w:i/>
                <w:iCs/>
                <w:highlight w:val="yellow"/>
              </w:rPr>
              <w:t xml:space="preserve"> required for all training/inference configurations).  FFS for WI phase further details (what absence means, which use case, whether it is per cell or multiple cells/frequency, terminology).</w:t>
            </w:r>
            <w:r w:rsidRPr="00D268E2">
              <w:rPr>
                <w:b w:val="0"/>
                <w:i/>
                <w:iCs/>
              </w:rPr>
              <w:t xml:space="preserve">  </w:t>
            </w:r>
          </w:p>
        </w:tc>
      </w:tr>
    </w:tbl>
    <w:p w14:paraId="7C2ADFE0" w14:textId="77777777" w:rsidR="000617D9" w:rsidRDefault="000617D9" w:rsidP="00D268E2">
      <w:pPr>
        <w:jc w:val="left"/>
      </w:pPr>
    </w:p>
    <w:p w14:paraId="14CCB594" w14:textId="09CDCF2E" w:rsidR="00AF0871" w:rsidRDefault="007E73F1" w:rsidP="00D268E2">
      <w:pPr>
        <w:jc w:val="left"/>
      </w:pPr>
      <w:r>
        <w:t>In the</w:t>
      </w:r>
      <w:r w:rsidR="009B6885">
        <w:t xml:space="preserve"> BM case, the associated ID </w:t>
      </w:r>
      <w:r>
        <w:t>correspond</w:t>
      </w:r>
      <w:r w:rsidR="00F931C8">
        <w:t xml:space="preserve">s </w:t>
      </w:r>
      <w:r w:rsidR="009B6885">
        <w:t>to the serving cell</w:t>
      </w:r>
      <w:r>
        <w:t xml:space="preserve"> where the beams are being predicted. In the case of AIML mobility, on the other hand, the </w:t>
      </w:r>
      <w:r w:rsidR="00A12979">
        <w:t xml:space="preserve">UE may be configured to perform </w:t>
      </w:r>
      <w:r w:rsidR="00937FE4">
        <w:t xml:space="preserve">simultaneous </w:t>
      </w:r>
      <w:r w:rsidR="00A12979">
        <w:t xml:space="preserve">predictions </w:t>
      </w:r>
      <w:r w:rsidR="007B4FE9">
        <w:t xml:space="preserve">for </w:t>
      </w:r>
      <w:r w:rsidR="00A12979">
        <w:t>multiple cells</w:t>
      </w:r>
      <w:r w:rsidR="00AF0871">
        <w:t xml:space="preserve">. For example, a UE may perform </w:t>
      </w:r>
      <w:r w:rsidR="00937FE4">
        <w:t xml:space="preserve">temporal prediction </w:t>
      </w:r>
      <w:r w:rsidR="00AF0871">
        <w:t xml:space="preserve">for </w:t>
      </w:r>
      <w:r w:rsidR="00A12979">
        <w:t>the serving cell and multiple neighbor c</w:t>
      </w:r>
      <w:r w:rsidR="00937FE4">
        <w:t>ells</w:t>
      </w:r>
      <w:r w:rsidR="00AF0871">
        <w:t xml:space="preserve">. Likewise, </w:t>
      </w:r>
      <w:r w:rsidR="00CA3A51">
        <w:t>the UE</w:t>
      </w:r>
      <w:r w:rsidR="00AF0871">
        <w:t xml:space="preserve"> may use RRM measurements from various cells a</w:t>
      </w:r>
      <w:r w:rsidR="00D268E2">
        <w:t>s</w:t>
      </w:r>
      <w:r w:rsidR="00AF0871">
        <w:t xml:space="preserve"> the input of its AIML model (e.g., in the cluster-based approach) to generate RRM predictions for one or more cells</w:t>
      </w:r>
      <w:r w:rsidR="00AC1326">
        <w:t xml:space="preserve"> (or for various beams of different cells)</w:t>
      </w:r>
      <w:r w:rsidR="00AF0871">
        <w:t>. In such cases, the UE may need to be provided with associated IDs for multiple cel</w:t>
      </w:r>
      <w:r w:rsidR="00D268E2">
        <w:t>l</w:t>
      </w:r>
      <w:r w:rsidR="00AF0871">
        <w:t xml:space="preserve">s, </w:t>
      </w:r>
      <w:r w:rsidR="00D268E2">
        <w:t>and the UE’s model may have been trained only for a subset of these associated IDs.</w:t>
      </w:r>
    </w:p>
    <w:p w14:paraId="01165B92" w14:textId="5EA1DEA3" w:rsidR="00ED16E5" w:rsidRPr="008211AF" w:rsidRDefault="00ED16E5" w:rsidP="008211AF">
      <w:pPr>
        <w:tabs>
          <w:tab w:val="left" w:pos="1377"/>
        </w:tabs>
        <w:ind w:left="1354" w:hanging="1354"/>
        <w:jc w:val="left"/>
        <w:rPr>
          <w:rFonts w:cs="Arial"/>
          <w:bCs/>
          <w:i/>
          <w:iCs/>
        </w:rPr>
      </w:pPr>
      <w:r w:rsidRPr="00733CA5">
        <w:rPr>
          <w:rFonts w:cs="Arial"/>
          <w:bCs/>
          <w:i/>
          <w:iCs/>
        </w:rPr>
        <w:t xml:space="preserve">Observation </w:t>
      </w:r>
      <w:r w:rsidR="00DE3786">
        <w:rPr>
          <w:rFonts w:cs="Arial"/>
          <w:bCs/>
          <w:i/>
          <w:iCs/>
        </w:rPr>
        <w:t>2</w:t>
      </w:r>
      <w:r w:rsidRPr="00733CA5">
        <w:rPr>
          <w:rFonts w:cs="Arial"/>
          <w:bCs/>
          <w:i/>
          <w:iCs/>
        </w:rPr>
        <w:t xml:space="preserve">: </w:t>
      </w:r>
      <w:r>
        <w:rPr>
          <w:rFonts w:cs="Arial"/>
          <w:bCs/>
          <w:i/>
          <w:iCs/>
        </w:rPr>
        <w:t xml:space="preserve">There may be cases in </w:t>
      </w:r>
      <w:r w:rsidR="005672C9">
        <w:rPr>
          <w:rFonts w:cs="Arial"/>
          <w:bCs/>
          <w:i/>
          <w:iCs/>
        </w:rPr>
        <w:t xml:space="preserve">RRM measurement prediction </w:t>
      </w:r>
      <w:r>
        <w:rPr>
          <w:rFonts w:cs="Arial"/>
          <w:bCs/>
          <w:i/>
          <w:iCs/>
        </w:rPr>
        <w:t xml:space="preserve">where there is a partial match between the associated IDs </w:t>
      </w:r>
      <w:r w:rsidR="008211AF">
        <w:rPr>
          <w:rFonts w:cs="Arial"/>
          <w:bCs/>
          <w:i/>
          <w:iCs/>
        </w:rPr>
        <w:t xml:space="preserve">of the input/output cells </w:t>
      </w:r>
      <w:r>
        <w:rPr>
          <w:rFonts w:cs="Arial"/>
          <w:bCs/>
          <w:i/>
          <w:iCs/>
        </w:rPr>
        <w:t>used during the training of the AIML model and th</w:t>
      </w:r>
      <w:r w:rsidR="008211AF">
        <w:rPr>
          <w:rFonts w:cs="Arial"/>
          <w:bCs/>
          <w:i/>
          <w:iCs/>
        </w:rPr>
        <w:t xml:space="preserve">e current associated IDs of the concerned cells. </w:t>
      </w:r>
    </w:p>
    <w:p w14:paraId="4CE57413" w14:textId="7BFA5011" w:rsidR="00ED16E5" w:rsidRPr="008211AF" w:rsidRDefault="00980AED" w:rsidP="008211AF">
      <w:pPr>
        <w:tabs>
          <w:tab w:val="left" w:pos="1377"/>
        </w:tabs>
        <w:jc w:val="left"/>
      </w:pPr>
      <w:r>
        <w:t xml:space="preserve">Like in the </w:t>
      </w:r>
      <w:r w:rsidRPr="002C23C3">
        <w:t xml:space="preserve">BM use case, the UE can determine the applicability of the </w:t>
      </w:r>
      <w:r>
        <w:t>RRM measurement prediction</w:t>
      </w:r>
      <w:r w:rsidRPr="002C23C3">
        <w:t xml:space="preserve"> functionality by considering model availability, </w:t>
      </w:r>
      <w:r>
        <w:t>NW-</w:t>
      </w:r>
      <w:r w:rsidRPr="002C23C3">
        <w:t xml:space="preserve">side additional conditions </w:t>
      </w:r>
      <w:r w:rsidRPr="00652907">
        <w:rPr>
          <w:rFonts w:eastAsia="DengXian"/>
        </w:rPr>
        <w:t>(</w:t>
      </w:r>
      <w:r>
        <w:rPr>
          <w:rFonts w:eastAsia="DengXian"/>
        </w:rPr>
        <w:t>i.e., the provided associated IDs</w:t>
      </w:r>
      <w:r w:rsidRPr="00652907">
        <w:rPr>
          <w:rFonts w:eastAsia="DengXian"/>
        </w:rPr>
        <w:t xml:space="preserve">), UE-side additional conditions (internally known by UE) and </w:t>
      </w:r>
      <w:r>
        <w:rPr>
          <w:rFonts w:eastAsia="DengXian"/>
        </w:rPr>
        <w:t xml:space="preserve">the provided </w:t>
      </w:r>
      <w:r w:rsidRPr="00652907">
        <w:rPr>
          <w:rFonts w:eastAsia="DengXian"/>
        </w:rPr>
        <w:t xml:space="preserve">inference configuration. </w:t>
      </w:r>
      <w:r>
        <w:rPr>
          <w:rFonts w:eastAsia="DengXian"/>
        </w:rPr>
        <w:t xml:space="preserve">However, now the provided associated IDs may not all be fully compatible with </w:t>
      </w:r>
      <w:r w:rsidR="006B45AC">
        <w:rPr>
          <w:rFonts w:eastAsia="DengXian"/>
        </w:rPr>
        <w:t>the training of the UE’s model</w:t>
      </w:r>
      <w:r>
        <w:rPr>
          <w:rFonts w:eastAsia="DengXian"/>
        </w:rPr>
        <w:t>.</w:t>
      </w:r>
      <w:r w:rsidR="00ED16E5">
        <w:rPr>
          <w:rFonts w:eastAsia="DengXian"/>
        </w:rPr>
        <w:t xml:space="preserve"> This may in turn influence the applicability determination for the configured AIML functionality.</w:t>
      </w:r>
    </w:p>
    <w:p w14:paraId="423678AD" w14:textId="47A4871D" w:rsidR="00384089" w:rsidRDefault="00980AED" w:rsidP="00D268E2">
      <w:pPr>
        <w:tabs>
          <w:tab w:val="left" w:pos="1377"/>
        </w:tabs>
        <w:ind w:left="1170" w:hanging="1170"/>
        <w:jc w:val="left"/>
        <w:rPr>
          <w:rFonts w:cs="Arial"/>
          <w:b/>
        </w:rPr>
      </w:pPr>
      <w:r w:rsidRPr="00652907">
        <w:rPr>
          <w:rFonts w:cs="Arial"/>
          <w:b/>
        </w:rPr>
        <w:t xml:space="preserve">Proposal </w:t>
      </w:r>
      <w:r w:rsidR="00DE3786">
        <w:rPr>
          <w:rFonts w:cs="Arial"/>
          <w:b/>
        </w:rPr>
        <w:t>3</w:t>
      </w:r>
      <w:r w:rsidRPr="00652907">
        <w:rPr>
          <w:rFonts w:cs="Arial"/>
          <w:b/>
        </w:rPr>
        <w:t xml:space="preserve">: </w:t>
      </w:r>
      <w:r w:rsidR="00ED16E5">
        <w:rPr>
          <w:rFonts w:cs="Arial"/>
          <w:b/>
        </w:rPr>
        <w:t xml:space="preserve">An </w:t>
      </w:r>
      <w:r w:rsidRPr="00652907">
        <w:rPr>
          <w:rFonts w:cs="Arial"/>
          <w:b/>
        </w:rPr>
        <w:t>RRM measurement prediction configuration</w:t>
      </w:r>
      <w:r>
        <w:rPr>
          <w:rFonts w:cs="Arial"/>
          <w:b/>
        </w:rPr>
        <w:t xml:space="preserve"> may be </w:t>
      </w:r>
      <w:r w:rsidR="008211AF">
        <w:rPr>
          <w:rFonts w:cs="Arial"/>
          <w:b/>
        </w:rPr>
        <w:t>fully applicable</w:t>
      </w:r>
      <w:r w:rsidR="00A969EF">
        <w:rPr>
          <w:rFonts w:cs="Arial"/>
          <w:b/>
        </w:rPr>
        <w:t xml:space="preserve">, fully non-applicable, or </w:t>
      </w:r>
      <w:r>
        <w:rPr>
          <w:rFonts w:cs="Arial"/>
          <w:b/>
        </w:rPr>
        <w:t>partially applicable</w:t>
      </w:r>
      <w:r w:rsidR="008211AF">
        <w:rPr>
          <w:rFonts w:cs="Arial"/>
          <w:b/>
        </w:rPr>
        <w:t xml:space="preserve">. </w:t>
      </w:r>
    </w:p>
    <w:p w14:paraId="01BDA5F0" w14:textId="430B5EEC" w:rsidR="005D0BF9" w:rsidRPr="002C23C3" w:rsidRDefault="005D0BF9" w:rsidP="00D268E2">
      <w:pPr>
        <w:pStyle w:val="Heading3"/>
        <w:rPr>
          <w:lang w:val="en-US"/>
        </w:rPr>
      </w:pPr>
      <w:r w:rsidRPr="002C23C3">
        <w:rPr>
          <w:lang w:val="en-US"/>
        </w:rPr>
        <w:t>2.</w:t>
      </w:r>
      <w:r w:rsidR="00403682" w:rsidRPr="002C23C3">
        <w:rPr>
          <w:lang w:val="en-US"/>
        </w:rPr>
        <w:t>2.</w:t>
      </w:r>
      <w:r w:rsidR="00980AED">
        <w:rPr>
          <w:lang w:val="en-US"/>
        </w:rPr>
        <w:t>3</w:t>
      </w:r>
      <w:r w:rsidRPr="002C23C3">
        <w:rPr>
          <w:lang w:val="en-US"/>
        </w:rPr>
        <w:t xml:space="preserve"> </w:t>
      </w:r>
      <w:r w:rsidR="0067596F">
        <w:rPr>
          <w:lang w:val="en-US"/>
        </w:rPr>
        <w:t xml:space="preserve">Performing </w:t>
      </w:r>
      <w:r w:rsidR="00CE2F3D">
        <w:rPr>
          <w:lang w:val="en-US"/>
        </w:rPr>
        <w:t>i</w:t>
      </w:r>
      <w:r w:rsidR="0067596F">
        <w:rPr>
          <w:lang w:val="en-US"/>
        </w:rPr>
        <w:t>nference</w:t>
      </w:r>
    </w:p>
    <w:p w14:paraId="567DF3F5" w14:textId="72687BBB" w:rsidR="002F3BB0" w:rsidRDefault="002F3BB0" w:rsidP="00D268E2">
      <w:pPr>
        <w:jc w:val="left"/>
        <w:rPr>
          <w:rFonts w:eastAsia="DengXian"/>
        </w:rPr>
      </w:pPr>
      <w:r w:rsidRPr="00652907">
        <w:rPr>
          <w:rFonts w:eastAsia="DengXian"/>
        </w:rPr>
        <w:t xml:space="preserve">Regarding </w:t>
      </w:r>
      <w:r w:rsidR="001E2921">
        <w:rPr>
          <w:rFonts w:eastAsia="DengXian"/>
        </w:rPr>
        <w:t>when the UE applies the inference configuration and start</w:t>
      </w:r>
      <w:r w:rsidR="00704FEA">
        <w:rPr>
          <w:rFonts w:eastAsia="DengXian"/>
        </w:rPr>
        <w:t>s</w:t>
      </w:r>
      <w:r w:rsidR="001E2921">
        <w:rPr>
          <w:rFonts w:eastAsia="DengXian"/>
        </w:rPr>
        <w:t xml:space="preserve"> performing the inference, </w:t>
      </w:r>
      <w:r w:rsidRPr="00652907">
        <w:rPr>
          <w:rFonts w:eastAsia="DengXian"/>
        </w:rPr>
        <w:t>the following was agreed in RAN2</w:t>
      </w:r>
      <w:r w:rsidR="00674029">
        <w:rPr>
          <w:rFonts w:eastAsia="DengXian"/>
        </w:rPr>
        <w:t xml:space="preserve"> #</w:t>
      </w:r>
      <w:r w:rsidRPr="00652907">
        <w:rPr>
          <w:rFonts w:eastAsia="DengXian"/>
        </w:rPr>
        <w:t>129bis [</w:t>
      </w:r>
      <w:r w:rsidR="00976143">
        <w:rPr>
          <w:rFonts w:eastAsia="DengXian"/>
        </w:rPr>
        <w:t>2</w:t>
      </w:r>
      <w:r w:rsidRPr="00652907">
        <w:rPr>
          <w:rFonts w:eastAsia="DengXian"/>
        </w:rPr>
        <w:t>]:</w:t>
      </w:r>
    </w:p>
    <w:tbl>
      <w:tblPr>
        <w:tblStyle w:val="TableGrid"/>
        <w:tblW w:w="0" w:type="auto"/>
        <w:tblLook w:val="04A0" w:firstRow="1" w:lastRow="0" w:firstColumn="1" w:lastColumn="0" w:noHBand="0" w:noVBand="1"/>
      </w:tblPr>
      <w:tblGrid>
        <w:gridCol w:w="9629"/>
      </w:tblGrid>
      <w:tr w:rsidR="00674029" w14:paraId="08F4CC1E" w14:textId="77777777">
        <w:tc>
          <w:tcPr>
            <w:tcW w:w="9629" w:type="dxa"/>
          </w:tcPr>
          <w:p w14:paraId="2340D33F" w14:textId="2A6242F9" w:rsidR="00674029" w:rsidRPr="008211AF" w:rsidRDefault="00674029" w:rsidP="00D268E2">
            <w:pPr>
              <w:jc w:val="left"/>
              <w:rPr>
                <w:rFonts w:eastAsia="DengXian"/>
              </w:rPr>
            </w:pPr>
            <w:r w:rsidRPr="008211AF">
              <w:rPr>
                <w:i/>
                <w:iCs/>
              </w:rPr>
              <w:t>The UE applies inference configuration for the applicable RRM measurement prediction and measurement event prediction upon receiving configuration via RRC.  As baseline, no dynamic signaling (e.g. L1/2) is required. FFS when the UE can perform inference</w:t>
            </w:r>
            <w:r w:rsidR="00881E2D">
              <w:rPr>
                <w:i/>
                <w:iCs/>
              </w:rPr>
              <w:t>.</w:t>
            </w:r>
          </w:p>
        </w:tc>
      </w:tr>
    </w:tbl>
    <w:p w14:paraId="01B8837D" w14:textId="77777777" w:rsidR="002F3BB0" w:rsidRDefault="002F3BB0" w:rsidP="00D268E2">
      <w:pPr>
        <w:jc w:val="left"/>
        <w:rPr>
          <w:rFonts w:eastAsia="DengXian"/>
        </w:rPr>
      </w:pPr>
    </w:p>
    <w:p w14:paraId="4DBEFEC0" w14:textId="15E0D38E" w:rsidR="00976143" w:rsidRDefault="00674029" w:rsidP="00D268E2">
      <w:pPr>
        <w:jc w:val="left"/>
        <w:rPr>
          <w:rFonts w:eastAsia="DengXian"/>
        </w:rPr>
      </w:pPr>
      <w:r>
        <w:rPr>
          <w:rFonts w:eastAsia="DengXian"/>
        </w:rPr>
        <w:t xml:space="preserve">The topic was further discussed in RAN2 #130, </w:t>
      </w:r>
      <w:r w:rsidR="002A13DA">
        <w:rPr>
          <w:rFonts w:eastAsia="DengXian"/>
        </w:rPr>
        <w:t>but</w:t>
      </w:r>
      <w:r>
        <w:rPr>
          <w:rFonts w:eastAsia="DengXian"/>
        </w:rPr>
        <w:t xml:space="preserve"> no additional agreements </w:t>
      </w:r>
      <w:r w:rsidR="002A13DA">
        <w:rPr>
          <w:rFonts w:eastAsia="DengXian"/>
        </w:rPr>
        <w:t>were</w:t>
      </w:r>
      <w:r>
        <w:rPr>
          <w:rFonts w:eastAsia="DengXian"/>
        </w:rPr>
        <w:t xml:space="preserve"> reached [1].</w:t>
      </w:r>
    </w:p>
    <w:p w14:paraId="3B7E9D49" w14:textId="13066498" w:rsidR="00881E2D" w:rsidRDefault="008D6FD6" w:rsidP="00D268E2">
      <w:pPr>
        <w:jc w:val="left"/>
        <w:rPr>
          <w:rFonts w:eastAsia="DengXian"/>
        </w:rPr>
      </w:pPr>
      <w:r>
        <w:rPr>
          <w:rFonts w:eastAsia="DengXian"/>
        </w:rPr>
        <w:t xml:space="preserve">In the case of BM, </w:t>
      </w:r>
      <w:r w:rsidR="005C4A73">
        <w:rPr>
          <w:rFonts w:eastAsia="DengXian"/>
        </w:rPr>
        <w:t xml:space="preserve">periodic CSI reporting is activated upon configuration, while </w:t>
      </w:r>
      <w:r w:rsidR="00AD4E54" w:rsidRPr="00AD4E54">
        <w:rPr>
          <w:rFonts w:eastAsia="DengXian"/>
        </w:rPr>
        <w:t xml:space="preserve">semi-persistent reporting </w:t>
      </w:r>
      <w:r w:rsidR="00E12920">
        <w:rPr>
          <w:rFonts w:eastAsia="DengXian"/>
        </w:rPr>
        <w:t>needs to</w:t>
      </w:r>
      <w:r w:rsidR="00AD4E54" w:rsidRPr="00AD4E54">
        <w:rPr>
          <w:rFonts w:eastAsia="DengXian"/>
        </w:rPr>
        <w:t xml:space="preserve"> be activated by MAC CE/DCI and aperiodic CSI reporting can be activated by DCI.</w:t>
      </w:r>
      <w:r w:rsidR="00E12920">
        <w:rPr>
          <w:rFonts w:eastAsia="DengXian"/>
        </w:rPr>
        <w:t xml:space="preserve"> However, for RRM measurements, the activation is always upon the reception of the configuration.</w:t>
      </w:r>
    </w:p>
    <w:p w14:paraId="52CDFB06" w14:textId="774DE2EC" w:rsidR="00696F21" w:rsidRDefault="00E12920" w:rsidP="00D268E2">
      <w:pPr>
        <w:jc w:val="left"/>
        <w:rPr>
          <w:rFonts w:eastAsia="DengXian"/>
        </w:rPr>
      </w:pPr>
      <w:r>
        <w:rPr>
          <w:rFonts w:eastAsia="DengXian"/>
        </w:rPr>
        <w:t xml:space="preserve">One approach for the case of the RRM measurement prediction is to apply legacy behavior. That is, the UE will start performing the </w:t>
      </w:r>
      <w:r w:rsidR="00A812D2">
        <w:rPr>
          <w:rFonts w:eastAsia="DengXian"/>
        </w:rPr>
        <w:t xml:space="preserve">predictions according to the received inference configuration if it has determined that it has an applicable RRM measurement prediction model as discussed above. </w:t>
      </w:r>
      <w:r w:rsidR="00BA2EE4">
        <w:rPr>
          <w:rFonts w:eastAsia="DengXian"/>
        </w:rPr>
        <w:t xml:space="preserve">A disadvantage of such an approach is that the UE may perform unnecessary inferences/predictions even when </w:t>
      </w:r>
      <w:r w:rsidR="004864A4">
        <w:rPr>
          <w:rFonts w:eastAsia="DengXian"/>
        </w:rPr>
        <w:t>it is</w:t>
      </w:r>
      <w:r w:rsidR="00FE45B3">
        <w:rPr>
          <w:rFonts w:eastAsia="DengXian"/>
        </w:rPr>
        <w:t xml:space="preserve"> not needed (e.g., when the UE is near </w:t>
      </w:r>
      <w:r w:rsidR="00CF56BB">
        <w:rPr>
          <w:rFonts w:eastAsia="DengXian"/>
        </w:rPr>
        <w:t>the serving</w:t>
      </w:r>
      <w:r w:rsidR="00FE45B3">
        <w:rPr>
          <w:rFonts w:eastAsia="DengXian"/>
        </w:rPr>
        <w:t xml:space="preserve"> cell center). </w:t>
      </w:r>
      <w:r w:rsidR="00400217">
        <w:rPr>
          <w:rFonts w:eastAsia="DengXian"/>
        </w:rPr>
        <w:t xml:space="preserve">Even in legacy RRM framework, there are optional configurations such as s-measure that </w:t>
      </w:r>
      <w:r w:rsidR="002565D2">
        <w:rPr>
          <w:rFonts w:eastAsia="DengXian"/>
        </w:rPr>
        <w:t>prevent</w:t>
      </w:r>
      <w:r w:rsidR="00400217">
        <w:rPr>
          <w:rFonts w:eastAsia="DengXian"/>
        </w:rPr>
        <w:t xml:space="preserve"> the UE from performing unnecessary measurements. Thus, it </w:t>
      </w:r>
      <w:r w:rsidR="002565D2">
        <w:rPr>
          <w:rFonts w:eastAsia="DengXian"/>
        </w:rPr>
        <w:t xml:space="preserve">should be discussed whether such mechanisms are needed for controlling inferences as well. </w:t>
      </w:r>
    </w:p>
    <w:p w14:paraId="55A68F34" w14:textId="02077CEC" w:rsidR="00696F21" w:rsidRDefault="00696F21" w:rsidP="008211AF">
      <w:pPr>
        <w:tabs>
          <w:tab w:val="left" w:pos="1377"/>
        </w:tabs>
        <w:ind w:left="1354" w:hanging="1354"/>
        <w:jc w:val="left"/>
        <w:rPr>
          <w:rFonts w:eastAsia="DengXian"/>
        </w:rPr>
      </w:pPr>
      <w:r w:rsidRPr="00733CA5">
        <w:rPr>
          <w:rFonts w:cs="Arial"/>
          <w:bCs/>
          <w:i/>
          <w:iCs/>
        </w:rPr>
        <w:t xml:space="preserve">Observation </w:t>
      </w:r>
      <w:r w:rsidR="000B29D9">
        <w:rPr>
          <w:rFonts w:cs="Arial"/>
          <w:bCs/>
          <w:i/>
          <w:iCs/>
        </w:rPr>
        <w:t>3</w:t>
      </w:r>
      <w:r w:rsidRPr="00733CA5">
        <w:rPr>
          <w:rFonts w:cs="Arial"/>
          <w:bCs/>
          <w:i/>
          <w:iCs/>
        </w:rPr>
        <w:t xml:space="preserve">: </w:t>
      </w:r>
      <w:r>
        <w:rPr>
          <w:rFonts w:cs="Arial"/>
          <w:bCs/>
          <w:i/>
          <w:iCs/>
        </w:rPr>
        <w:t xml:space="preserve">Performing </w:t>
      </w:r>
      <w:r w:rsidR="00972C36">
        <w:rPr>
          <w:rFonts w:cs="Arial"/>
          <w:bCs/>
          <w:i/>
          <w:iCs/>
        </w:rPr>
        <w:t>RRM measurement predictions all the time is highly inefficient</w:t>
      </w:r>
      <w:r w:rsidR="009D327F">
        <w:rPr>
          <w:rFonts w:cs="Arial"/>
          <w:bCs/>
          <w:i/>
          <w:iCs/>
        </w:rPr>
        <w:t xml:space="preserve"> </w:t>
      </w:r>
      <w:r w:rsidR="00972C36">
        <w:rPr>
          <w:rFonts w:cs="Arial"/>
          <w:bCs/>
          <w:i/>
          <w:iCs/>
        </w:rPr>
        <w:t xml:space="preserve">(e.g., when the UE is under excellent </w:t>
      </w:r>
      <w:r w:rsidR="009D327F">
        <w:rPr>
          <w:rFonts w:cs="Arial"/>
          <w:bCs/>
          <w:i/>
          <w:iCs/>
        </w:rPr>
        <w:t>serving cell coverage).</w:t>
      </w:r>
    </w:p>
    <w:p w14:paraId="5A8E72E0" w14:textId="4DA11F9D" w:rsidR="00B845F7" w:rsidRPr="00652907" w:rsidRDefault="00315CE3" w:rsidP="00D268E2">
      <w:pPr>
        <w:jc w:val="left"/>
        <w:rPr>
          <w:rFonts w:eastAsia="DengXian"/>
        </w:rPr>
      </w:pPr>
      <w:r>
        <w:rPr>
          <w:rFonts w:eastAsia="DengXian"/>
        </w:rPr>
        <w:lastRenderedPageBreak/>
        <w:t>As such, we propose the following:</w:t>
      </w:r>
    </w:p>
    <w:p w14:paraId="431A5D4F" w14:textId="234C34CC" w:rsidR="003A22C1" w:rsidRDefault="00B845F7" w:rsidP="00D268E2">
      <w:pPr>
        <w:tabs>
          <w:tab w:val="left" w:pos="1377"/>
        </w:tabs>
        <w:ind w:left="1170" w:hanging="1170"/>
        <w:jc w:val="left"/>
        <w:rPr>
          <w:rFonts w:cs="Arial"/>
          <w:b/>
        </w:rPr>
      </w:pPr>
      <w:r w:rsidRPr="00652907">
        <w:rPr>
          <w:rFonts w:cs="Arial"/>
          <w:b/>
        </w:rPr>
        <w:t xml:space="preserve">Proposal </w:t>
      </w:r>
      <w:r w:rsidR="009100AD">
        <w:rPr>
          <w:rFonts w:cs="Arial"/>
          <w:b/>
        </w:rPr>
        <w:t>4</w:t>
      </w:r>
      <w:r w:rsidRPr="00652907">
        <w:rPr>
          <w:rFonts w:cs="Arial"/>
          <w:b/>
        </w:rPr>
        <w:t xml:space="preserve">: The UE </w:t>
      </w:r>
      <w:r w:rsidR="00DE276A">
        <w:rPr>
          <w:rFonts w:cs="Arial"/>
          <w:b/>
        </w:rPr>
        <w:t>can be configured to start performing RRM measurement predictions</w:t>
      </w:r>
      <w:r w:rsidR="008A0882">
        <w:rPr>
          <w:rFonts w:cs="Arial"/>
          <w:b/>
        </w:rPr>
        <w:t xml:space="preserve"> in one of the following ways:</w:t>
      </w:r>
    </w:p>
    <w:p w14:paraId="1AF33CAC" w14:textId="2E12717B" w:rsidR="003A22C1" w:rsidRPr="008211AF" w:rsidRDefault="003A22C1" w:rsidP="008211AF">
      <w:pPr>
        <w:pStyle w:val="ListParagraph"/>
        <w:numPr>
          <w:ilvl w:val="0"/>
          <w:numId w:val="57"/>
        </w:numPr>
        <w:tabs>
          <w:tab w:val="left" w:pos="1377"/>
        </w:tabs>
        <w:ind w:left="1354" w:hanging="216"/>
        <w:jc w:val="left"/>
        <w:rPr>
          <w:rFonts w:cs="Arial"/>
          <w:b/>
        </w:rPr>
      </w:pPr>
      <w:r w:rsidRPr="003A22C1">
        <w:rPr>
          <w:rFonts w:cs="Arial"/>
          <w:b/>
        </w:rPr>
        <w:t>A</w:t>
      </w:r>
      <w:r w:rsidR="00B845F7" w:rsidRPr="008211AF">
        <w:rPr>
          <w:rFonts w:cs="Arial"/>
          <w:b/>
        </w:rPr>
        <w:t>utomatically</w:t>
      </w:r>
      <w:r>
        <w:rPr>
          <w:rFonts w:cs="Arial"/>
          <w:b/>
        </w:rPr>
        <w:t xml:space="preserve">, </w:t>
      </w:r>
      <w:r w:rsidR="008A0882" w:rsidRPr="008211AF">
        <w:rPr>
          <w:rFonts w:cs="Arial"/>
          <w:b/>
        </w:rPr>
        <w:t xml:space="preserve">upon the reception of the inference configuration and </w:t>
      </w:r>
      <w:r>
        <w:rPr>
          <w:rFonts w:cs="Arial"/>
          <w:b/>
        </w:rPr>
        <w:t xml:space="preserve">after </w:t>
      </w:r>
      <w:r w:rsidR="008A0882" w:rsidRPr="008211AF">
        <w:rPr>
          <w:rFonts w:cs="Arial"/>
          <w:b/>
        </w:rPr>
        <w:t xml:space="preserve">determining that </w:t>
      </w:r>
      <w:r w:rsidR="00D83721" w:rsidRPr="008211AF">
        <w:rPr>
          <w:rFonts w:cs="Arial"/>
          <w:b/>
        </w:rPr>
        <w:t>it has an applicable model</w:t>
      </w:r>
      <w:r>
        <w:rPr>
          <w:rFonts w:cs="Arial"/>
          <w:b/>
        </w:rPr>
        <w:t>.</w:t>
      </w:r>
    </w:p>
    <w:p w14:paraId="63B3C7BE" w14:textId="1911B991" w:rsidR="00B845F7" w:rsidRPr="008211AF" w:rsidRDefault="003A22C1" w:rsidP="008211AF">
      <w:pPr>
        <w:pStyle w:val="ListParagraph"/>
        <w:numPr>
          <w:ilvl w:val="0"/>
          <w:numId w:val="57"/>
        </w:numPr>
        <w:tabs>
          <w:tab w:val="left" w:pos="1377"/>
        </w:tabs>
        <w:ind w:left="1354" w:hanging="216"/>
        <w:jc w:val="left"/>
        <w:rPr>
          <w:rFonts w:cs="Arial"/>
          <w:b/>
        </w:rPr>
      </w:pPr>
      <w:r>
        <w:rPr>
          <w:rFonts w:cs="Arial"/>
          <w:b/>
        </w:rPr>
        <w:t>Upon</w:t>
      </w:r>
      <w:r w:rsidRPr="008211AF">
        <w:rPr>
          <w:rFonts w:cs="Arial"/>
          <w:b/>
        </w:rPr>
        <w:t xml:space="preserve"> </w:t>
      </w:r>
      <w:r w:rsidR="00D83721" w:rsidRPr="008211AF">
        <w:rPr>
          <w:rFonts w:cs="Arial"/>
          <w:b/>
        </w:rPr>
        <w:t>the fulfillment of further conditions. The details of the conditions are FFS (</w:t>
      </w:r>
      <w:r w:rsidR="00315CE3" w:rsidRPr="008211AF">
        <w:rPr>
          <w:rFonts w:cs="Arial"/>
          <w:b/>
        </w:rPr>
        <w:t>e</w:t>
      </w:r>
      <w:r w:rsidR="00D83721" w:rsidRPr="008211AF">
        <w:rPr>
          <w:rFonts w:cs="Arial"/>
          <w:b/>
        </w:rPr>
        <w:t xml:space="preserve">.g., </w:t>
      </w:r>
      <w:r w:rsidR="009E3902" w:rsidRPr="008211AF">
        <w:rPr>
          <w:rFonts w:cs="Arial"/>
          <w:b/>
        </w:rPr>
        <w:t>configuration like</w:t>
      </w:r>
      <w:r w:rsidR="001C2F6C" w:rsidRPr="008211AF">
        <w:rPr>
          <w:rFonts w:cs="Arial"/>
          <w:b/>
        </w:rPr>
        <w:t xml:space="preserve"> </w:t>
      </w:r>
      <w:r w:rsidR="009E3902" w:rsidRPr="008211AF">
        <w:rPr>
          <w:rFonts w:cs="Arial"/>
          <w:b/>
        </w:rPr>
        <w:t xml:space="preserve">the </w:t>
      </w:r>
      <w:r w:rsidR="001C2F6C" w:rsidRPr="008211AF">
        <w:rPr>
          <w:rFonts w:cs="Arial"/>
          <w:b/>
        </w:rPr>
        <w:t>s-measure</w:t>
      </w:r>
      <w:r w:rsidR="004330D1" w:rsidRPr="008211AF">
        <w:rPr>
          <w:rFonts w:cs="Arial"/>
          <w:b/>
        </w:rPr>
        <w:t xml:space="preserve"> for </w:t>
      </w:r>
      <w:r w:rsidR="00D63D6C" w:rsidRPr="008211AF">
        <w:rPr>
          <w:rFonts w:cs="Arial"/>
          <w:b/>
        </w:rPr>
        <w:t>starting inference</w:t>
      </w:r>
      <w:r w:rsidR="001C2F6C" w:rsidRPr="008211AF">
        <w:rPr>
          <w:rFonts w:cs="Arial"/>
          <w:b/>
        </w:rPr>
        <w:t>).</w:t>
      </w:r>
    </w:p>
    <w:p w14:paraId="0D95FA90" w14:textId="1027D397" w:rsidR="00976143" w:rsidRPr="008211AF" w:rsidRDefault="003A22C1" w:rsidP="008211AF">
      <w:pPr>
        <w:pStyle w:val="Heading3"/>
      </w:pPr>
      <w:bookmarkStart w:id="0" w:name="_Hlk205963557"/>
      <w:r w:rsidRPr="002C23C3">
        <w:rPr>
          <w:lang w:val="en-US"/>
        </w:rPr>
        <w:t>2.2.</w:t>
      </w:r>
      <w:r>
        <w:rPr>
          <w:lang w:val="en-US"/>
        </w:rPr>
        <w:t>4</w:t>
      </w:r>
      <w:r w:rsidRPr="002C23C3">
        <w:rPr>
          <w:lang w:val="en-US"/>
        </w:rPr>
        <w:t xml:space="preserve"> </w:t>
      </w:r>
      <w:r>
        <w:rPr>
          <w:lang w:val="en-US"/>
        </w:rPr>
        <w:t>Perform</w:t>
      </w:r>
      <w:r w:rsidR="00F749ED">
        <w:rPr>
          <w:lang w:val="en-US"/>
        </w:rPr>
        <w:t>ance</w:t>
      </w:r>
      <w:r>
        <w:rPr>
          <w:lang w:val="en-US"/>
        </w:rPr>
        <w:t xml:space="preserve"> monitoring</w:t>
      </w:r>
    </w:p>
    <w:p w14:paraId="77FD863B" w14:textId="6C12EB95" w:rsidR="00976143" w:rsidRDefault="001D15EC" w:rsidP="00D268E2">
      <w:pPr>
        <w:tabs>
          <w:tab w:val="left" w:pos="1377"/>
        </w:tabs>
        <w:jc w:val="left"/>
        <w:rPr>
          <w:rFonts w:cs="Arial"/>
          <w:b/>
        </w:rPr>
      </w:pPr>
      <w:r w:rsidRPr="00652907">
        <w:rPr>
          <w:rFonts w:eastAsia="DengXian"/>
        </w:rPr>
        <w:t xml:space="preserve">Regarding </w:t>
      </w:r>
      <w:r>
        <w:rPr>
          <w:rFonts w:eastAsia="DengXian"/>
        </w:rPr>
        <w:t>performance monitoring for UE-side AIML models</w:t>
      </w:r>
      <w:r w:rsidRPr="00652907">
        <w:rPr>
          <w:rFonts w:eastAsia="DengXian"/>
        </w:rPr>
        <w:t xml:space="preserve"> for the AIML mobility use case, the following </w:t>
      </w:r>
      <w:r>
        <w:rPr>
          <w:rFonts w:eastAsia="DengXian"/>
        </w:rPr>
        <w:t>were</w:t>
      </w:r>
      <w:r w:rsidRPr="00652907">
        <w:rPr>
          <w:rFonts w:eastAsia="DengXian"/>
        </w:rPr>
        <w:t xml:space="preserve"> agreed in RAN2</w:t>
      </w:r>
      <w:r>
        <w:rPr>
          <w:rFonts w:eastAsia="DengXian"/>
        </w:rPr>
        <w:t xml:space="preserve"> #130</w:t>
      </w:r>
      <w:r w:rsidRPr="00652907">
        <w:rPr>
          <w:rFonts w:eastAsia="DengXian"/>
        </w:rPr>
        <w:t xml:space="preserve"> [1]:</w:t>
      </w:r>
    </w:p>
    <w:tbl>
      <w:tblPr>
        <w:tblStyle w:val="TableGrid"/>
        <w:tblW w:w="0" w:type="auto"/>
        <w:tblLook w:val="04A0" w:firstRow="1" w:lastRow="0" w:firstColumn="1" w:lastColumn="0" w:noHBand="0" w:noVBand="1"/>
      </w:tblPr>
      <w:tblGrid>
        <w:gridCol w:w="9629"/>
      </w:tblGrid>
      <w:tr w:rsidR="003B5454" w14:paraId="79BA2320" w14:textId="77777777">
        <w:tc>
          <w:tcPr>
            <w:tcW w:w="9629" w:type="dxa"/>
          </w:tcPr>
          <w:p w14:paraId="65315D4D" w14:textId="77777777" w:rsidR="003B5454" w:rsidRDefault="003B5454" w:rsidP="00D268E2">
            <w:pPr>
              <w:pStyle w:val="Doc-text2"/>
              <w:ind w:left="363"/>
            </w:pPr>
            <w:r>
              <w:t>1</w:t>
            </w:r>
            <w:r>
              <w:tab/>
              <w:t xml:space="preserve"> For UE-sided model, NW-sided monitoring, the performance monitor procedure contains</w:t>
            </w:r>
          </w:p>
          <w:p w14:paraId="31D53654" w14:textId="77777777" w:rsidR="003B5454" w:rsidRDefault="003B5454" w:rsidP="00D268E2">
            <w:pPr>
              <w:pStyle w:val="Doc-text2"/>
              <w:numPr>
                <w:ilvl w:val="0"/>
                <w:numId w:val="51"/>
              </w:numPr>
              <w:ind w:left="723"/>
            </w:pPr>
            <w:r>
              <w:t xml:space="preserve">NW sends monitoring configuration and inference configuration to UE. </w:t>
            </w:r>
          </w:p>
          <w:p w14:paraId="5B9208CF" w14:textId="77777777" w:rsidR="003B5454" w:rsidRDefault="003B5454" w:rsidP="00D268E2">
            <w:pPr>
              <w:pStyle w:val="Doc-text2"/>
              <w:numPr>
                <w:ilvl w:val="0"/>
                <w:numId w:val="51"/>
              </w:numPr>
              <w:ind w:left="723"/>
            </w:pPr>
            <w:r>
              <w:t>UE reports measurements and inference output based on the corresponding configurations to NW.</w:t>
            </w:r>
          </w:p>
          <w:p w14:paraId="0C68D44E" w14:textId="77777777" w:rsidR="003B5454" w:rsidRDefault="003B5454" w:rsidP="00D268E2">
            <w:pPr>
              <w:pStyle w:val="Doc-text2"/>
              <w:numPr>
                <w:ilvl w:val="0"/>
                <w:numId w:val="51"/>
              </w:numPr>
              <w:ind w:left="723"/>
            </w:pPr>
            <w:r>
              <w:t>NW performs monitoring and makes decisions, which can be fully NW-implemented.</w:t>
            </w:r>
          </w:p>
          <w:p w14:paraId="2CA5656A" w14:textId="77777777" w:rsidR="003B5454" w:rsidRDefault="003B5454" w:rsidP="00D268E2">
            <w:pPr>
              <w:pStyle w:val="Doc-text2"/>
              <w:ind w:left="363"/>
            </w:pPr>
            <w:r>
              <w:t>2</w:t>
            </w:r>
            <w:r>
              <w:tab/>
              <w:t xml:space="preserve"> For UE-sided model, UE-sided monitoring, the performance monitor procedure as baselined contains </w:t>
            </w:r>
          </w:p>
          <w:p w14:paraId="60306C5F" w14:textId="77777777" w:rsidR="003B5454" w:rsidRDefault="003B5454" w:rsidP="00D268E2">
            <w:pPr>
              <w:pStyle w:val="Doc-text2"/>
              <w:numPr>
                <w:ilvl w:val="0"/>
                <w:numId w:val="52"/>
              </w:numPr>
              <w:ind w:left="720"/>
            </w:pPr>
            <w:r>
              <w:t xml:space="preserve">NW sends monitoring configuration to UE </w:t>
            </w:r>
          </w:p>
          <w:p w14:paraId="3CBA62B0" w14:textId="77777777" w:rsidR="003B5454" w:rsidRDefault="003B5454" w:rsidP="00D268E2">
            <w:pPr>
              <w:pStyle w:val="Doc-text2"/>
              <w:numPr>
                <w:ilvl w:val="0"/>
                <w:numId w:val="52"/>
              </w:numPr>
              <w:ind w:left="720"/>
            </w:pPr>
            <w:r>
              <w:t xml:space="preserve">UE measures monitoring data and generates monitoring results by comparing inference output and monitoring data. </w:t>
            </w:r>
          </w:p>
          <w:p w14:paraId="5568BC2C" w14:textId="77777777" w:rsidR="003B5454" w:rsidRDefault="003B5454" w:rsidP="00D268E2">
            <w:pPr>
              <w:pStyle w:val="Doc-text2"/>
              <w:numPr>
                <w:ilvl w:val="0"/>
                <w:numId w:val="52"/>
              </w:numPr>
              <w:ind w:left="720"/>
            </w:pPr>
            <w:r>
              <w:t xml:space="preserve">(NW-decision): UE reports the monitoring result to NW, and NW makes the management decision. </w:t>
            </w:r>
          </w:p>
          <w:p w14:paraId="2E07D3B4" w14:textId="77777777" w:rsidR="003B5454" w:rsidRPr="008211AF" w:rsidRDefault="003B5454" w:rsidP="00D268E2">
            <w:pPr>
              <w:pStyle w:val="Doc-text2"/>
              <w:numPr>
                <w:ilvl w:val="0"/>
                <w:numId w:val="53"/>
              </w:numPr>
              <w:rPr>
                <w:highlight w:val="yellow"/>
              </w:rPr>
            </w:pPr>
            <w:r w:rsidRPr="008211AF">
              <w:rPr>
                <w:highlight w:val="yellow"/>
              </w:rPr>
              <w:t xml:space="preserve">Can further consider UE sided monitoring and (UE-decision) for some use cases: UE makes the management decision based on network configuration and sends the decision to NW.  FFS which use cases. </w:t>
            </w:r>
          </w:p>
          <w:p w14:paraId="7D51738F" w14:textId="77777777" w:rsidR="003B5454" w:rsidRPr="00BE03C3" w:rsidRDefault="003B5454" w:rsidP="00D268E2">
            <w:pPr>
              <w:pStyle w:val="Doc-text2"/>
              <w:numPr>
                <w:ilvl w:val="0"/>
                <w:numId w:val="53"/>
              </w:numPr>
            </w:pPr>
            <w:r w:rsidRPr="00BE03C3">
              <w:t xml:space="preserve">For RRM measurement prediction </w:t>
            </w:r>
          </w:p>
          <w:p w14:paraId="54A5DA72" w14:textId="07E66633" w:rsidR="003B5454" w:rsidRPr="003B5454" w:rsidRDefault="003B5454" w:rsidP="008211AF">
            <w:pPr>
              <w:pStyle w:val="Doc-text2"/>
              <w:numPr>
                <w:ilvl w:val="1"/>
                <w:numId w:val="53"/>
              </w:numPr>
              <w:ind w:left="1080"/>
            </w:pPr>
            <w:r w:rsidRPr="00BE03C3">
              <w:t>RSRP differences can be used as the performance metric for monitoring.</w:t>
            </w:r>
          </w:p>
        </w:tc>
      </w:tr>
    </w:tbl>
    <w:p w14:paraId="5B1A929F" w14:textId="77777777" w:rsidR="00976143" w:rsidRDefault="00976143" w:rsidP="00D268E2">
      <w:pPr>
        <w:tabs>
          <w:tab w:val="left" w:pos="1377"/>
        </w:tabs>
        <w:jc w:val="left"/>
        <w:rPr>
          <w:rFonts w:cs="Arial"/>
          <w:b/>
        </w:rPr>
      </w:pPr>
    </w:p>
    <w:p w14:paraId="4B1E8627" w14:textId="08892B78" w:rsidR="00B47967" w:rsidRDefault="00B47967" w:rsidP="00B47967">
      <w:pPr>
        <w:jc w:val="left"/>
      </w:pPr>
      <w:r>
        <w:t>For temporal/intra-frequency predictions, the UE already has the measurement configuration to measure/acquire the ground truth to be used for performance monitoring purposes. Even in the case of temporal case B where there is skipping of some samples, the UE can be configured to not skip the measurements of the predicted instances. However, for inter-frequency predictions, the UE may need to be configured with measurement gaps to acquire the ground truth measurements.</w:t>
      </w:r>
    </w:p>
    <w:p w14:paraId="35902D79" w14:textId="360EFA4E" w:rsidR="00B47967" w:rsidRPr="008211AF" w:rsidRDefault="00B47967" w:rsidP="00B47967">
      <w:pPr>
        <w:tabs>
          <w:tab w:val="left" w:pos="1377"/>
        </w:tabs>
        <w:ind w:left="1354" w:hanging="1354"/>
        <w:jc w:val="left"/>
        <w:rPr>
          <w:i/>
          <w:iCs/>
        </w:rPr>
      </w:pPr>
      <w:r w:rsidRPr="008211AF">
        <w:rPr>
          <w:i/>
          <w:iCs/>
        </w:rPr>
        <w:t xml:space="preserve">Observation 4: </w:t>
      </w:r>
      <w:r>
        <w:rPr>
          <w:i/>
          <w:iCs/>
        </w:rPr>
        <w:t xml:space="preserve">For temporal/intra-frequency predictions, the UE already has the measurement configurations required </w:t>
      </w:r>
      <w:r w:rsidR="002661A2">
        <w:rPr>
          <w:i/>
          <w:iCs/>
        </w:rPr>
        <w:t xml:space="preserve">for acquiring the ground truth for the purpose of performance monitoring. </w:t>
      </w:r>
    </w:p>
    <w:p w14:paraId="46F19E22" w14:textId="745E574C" w:rsidR="003507E1" w:rsidRPr="008211AF" w:rsidRDefault="003507E1" w:rsidP="00D268E2">
      <w:pPr>
        <w:tabs>
          <w:tab w:val="left" w:pos="1377"/>
        </w:tabs>
        <w:ind w:left="1354" w:hanging="1354"/>
        <w:jc w:val="left"/>
        <w:rPr>
          <w:i/>
          <w:iCs/>
        </w:rPr>
      </w:pPr>
      <w:r w:rsidRPr="008211AF">
        <w:rPr>
          <w:i/>
          <w:iCs/>
        </w:rPr>
        <w:t xml:space="preserve">Observation </w:t>
      </w:r>
      <w:r w:rsidR="002661A2">
        <w:rPr>
          <w:i/>
          <w:iCs/>
        </w:rPr>
        <w:t>5</w:t>
      </w:r>
      <w:r w:rsidRPr="008211AF">
        <w:rPr>
          <w:i/>
          <w:iCs/>
        </w:rPr>
        <w:t>: A UE may need to be configured with measurement gaps to be able to conduct performance monitoring for inter-frequency prediction cases.</w:t>
      </w:r>
    </w:p>
    <w:p w14:paraId="717426FB" w14:textId="0AE3A3A0" w:rsidR="00B43E2F" w:rsidRDefault="008405A2" w:rsidP="00D268E2">
      <w:pPr>
        <w:tabs>
          <w:tab w:val="left" w:pos="1377"/>
        </w:tabs>
        <w:jc w:val="left"/>
      </w:pPr>
      <w:r>
        <w:rPr>
          <w:rFonts w:cs="Arial"/>
          <w:bCs/>
        </w:rPr>
        <w:t>I</w:t>
      </w:r>
      <w:r w:rsidR="003507E1">
        <w:rPr>
          <w:rFonts w:cs="Arial"/>
          <w:bCs/>
        </w:rPr>
        <w:t xml:space="preserve">f the UE </w:t>
      </w:r>
      <w:r w:rsidR="00B05112">
        <w:rPr>
          <w:rFonts w:cs="Arial"/>
          <w:bCs/>
        </w:rPr>
        <w:t xml:space="preserve">is configured to be able to </w:t>
      </w:r>
      <w:r w:rsidR="003507E1">
        <w:rPr>
          <w:rFonts w:cs="Arial"/>
          <w:bCs/>
        </w:rPr>
        <w:t>decid</w:t>
      </w:r>
      <w:r w:rsidR="00B05112">
        <w:rPr>
          <w:rFonts w:cs="Arial"/>
          <w:bCs/>
        </w:rPr>
        <w:t>e</w:t>
      </w:r>
      <w:r w:rsidR="003507E1">
        <w:rPr>
          <w:rFonts w:cs="Arial"/>
          <w:bCs/>
        </w:rPr>
        <w:t xml:space="preserve"> </w:t>
      </w:r>
      <w:r>
        <w:rPr>
          <w:rFonts w:cs="Arial"/>
          <w:bCs/>
        </w:rPr>
        <w:t xml:space="preserve">(based on </w:t>
      </w:r>
      <w:r w:rsidR="003507E1">
        <w:rPr>
          <w:rFonts w:cs="Arial"/>
          <w:bCs/>
        </w:rPr>
        <w:t>performance monitoring</w:t>
      </w:r>
      <w:r>
        <w:rPr>
          <w:rFonts w:cs="Arial"/>
          <w:bCs/>
        </w:rPr>
        <w:t>)</w:t>
      </w:r>
      <w:r w:rsidR="003507E1">
        <w:rPr>
          <w:rFonts w:cs="Arial"/>
          <w:bCs/>
        </w:rPr>
        <w:t xml:space="preserve"> to revert </w:t>
      </w:r>
      <w:r w:rsidR="003507E1">
        <w:t>to legacy RRM measurements</w:t>
      </w:r>
      <w:r w:rsidR="002661A2">
        <w:t xml:space="preserve"> (e.g., RSRP difference is above a configured threshold)</w:t>
      </w:r>
      <w:r w:rsidR="003507E1">
        <w:t xml:space="preserve">, it </w:t>
      </w:r>
      <w:r w:rsidR="002661A2">
        <w:t xml:space="preserve">can </w:t>
      </w:r>
      <w:r w:rsidR="003507E1">
        <w:t>notify the network so that it can be provided with the measurement gaps for performing the inter-frequency measurement</w:t>
      </w:r>
      <w:r w:rsidR="002661A2">
        <w:t xml:space="preserve"> or keep using the gaps configured for </w:t>
      </w:r>
      <w:r w:rsidR="00F0240D">
        <w:t>performance</w:t>
      </w:r>
      <w:r w:rsidR="002661A2">
        <w:t xml:space="preserve"> monitoring purposes</w:t>
      </w:r>
      <w:r w:rsidR="00B43E2F">
        <w:t>. Alternatively, the UE be already configured with such measurement gaps, so it may only need to activate them. The latter is beneficial for cases such as those hinted by agreement #3 (in the table above), where the UE</w:t>
      </w:r>
      <w:r w:rsidR="00B43E2F" w:rsidRPr="00B43E2F">
        <w:rPr>
          <w:rFonts w:cs="Arial"/>
          <w:bCs/>
        </w:rPr>
        <w:t xml:space="preserve"> </w:t>
      </w:r>
      <w:r w:rsidR="00B43E2F">
        <w:rPr>
          <w:rFonts w:cs="Arial"/>
          <w:bCs/>
        </w:rPr>
        <w:t>may undertake a configured (by the network) management decision (e.g., fallback) without engaging in time-consuming signaling exchange with the network.</w:t>
      </w:r>
    </w:p>
    <w:p w14:paraId="417E4A10" w14:textId="34A42DD4" w:rsidR="00754B8E" w:rsidRPr="008211AF" w:rsidRDefault="00EA074C" w:rsidP="00D268E2">
      <w:pPr>
        <w:tabs>
          <w:tab w:val="left" w:pos="1377"/>
        </w:tabs>
        <w:jc w:val="left"/>
        <w:rPr>
          <w:rFonts w:cs="Arial"/>
          <w:bCs/>
        </w:rPr>
      </w:pPr>
      <w:r w:rsidRPr="008211AF">
        <w:rPr>
          <w:rFonts w:cs="Arial"/>
          <w:bCs/>
        </w:rPr>
        <w:t>Based on the above, we propose the following:</w:t>
      </w:r>
    </w:p>
    <w:p w14:paraId="3E5E45A0" w14:textId="3C93147A" w:rsidR="00976143" w:rsidRPr="00EA074C" w:rsidRDefault="00EA074C" w:rsidP="008211AF">
      <w:pPr>
        <w:ind w:left="1152" w:hanging="1152"/>
        <w:jc w:val="left"/>
        <w:rPr>
          <w:b/>
          <w:bCs/>
        </w:rPr>
      </w:pPr>
      <w:r>
        <w:rPr>
          <w:b/>
          <w:bCs/>
        </w:rPr>
        <w:t xml:space="preserve">Proposal </w:t>
      </w:r>
      <w:r w:rsidR="004904D8">
        <w:rPr>
          <w:b/>
          <w:bCs/>
        </w:rPr>
        <w:t>5</w:t>
      </w:r>
      <w:r>
        <w:rPr>
          <w:b/>
          <w:bCs/>
        </w:rPr>
        <w:t xml:space="preserve">: For inter-frequency RRM measurement prediction, the UE </w:t>
      </w:r>
      <w:r w:rsidR="00B47967">
        <w:rPr>
          <w:b/>
          <w:bCs/>
        </w:rPr>
        <w:t>can</w:t>
      </w:r>
      <w:r>
        <w:rPr>
          <w:b/>
          <w:bCs/>
        </w:rPr>
        <w:t xml:space="preserve"> be configured with </w:t>
      </w:r>
      <w:r w:rsidR="00B43E2F">
        <w:rPr>
          <w:b/>
          <w:bCs/>
        </w:rPr>
        <w:t>measurement gaps</w:t>
      </w:r>
      <w:r w:rsidR="009E7E52">
        <w:rPr>
          <w:b/>
          <w:bCs/>
        </w:rPr>
        <w:t xml:space="preserve"> </w:t>
      </w:r>
      <w:r w:rsidR="00B43E2F">
        <w:rPr>
          <w:b/>
          <w:bCs/>
        </w:rPr>
        <w:t>to</w:t>
      </w:r>
      <w:r w:rsidR="009E7E52">
        <w:rPr>
          <w:b/>
          <w:bCs/>
        </w:rPr>
        <w:t xml:space="preserve"> be able to</w:t>
      </w:r>
      <w:r w:rsidR="00B43E2F">
        <w:rPr>
          <w:b/>
          <w:bCs/>
        </w:rPr>
        <w:t xml:space="preserve"> undertake performance monitoring and/or </w:t>
      </w:r>
      <w:r w:rsidR="002661A2">
        <w:rPr>
          <w:b/>
          <w:bCs/>
        </w:rPr>
        <w:t>fallback to legacy inter-frequency measurements when the prediction performance falls below a required level. FFS if the gap configurations for performance monitoring and fallback are different.</w:t>
      </w:r>
    </w:p>
    <w:bookmarkEnd w:id="0"/>
    <w:p w14:paraId="47580931" w14:textId="77777777" w:rsidR="00553D9B" w:rsidRPr="008211AF" w:rsidRDefault="00553D9B" w:rsidP="008211AF">
      <w:pPr>
        <w:tabs>
          <w:tab w:val="left" w:pos="1377"/>
        </w:tabs>
        <w:jc w:val="left"/>
        <w:rPr>
          <w:rFonts w:cs="Arial"/>
          <w:b/>
          <w:bCs/>
        </w:rPr>
      </w:pPr>
    </w:p>
    <w:p w14:paraId="07D56353" w14:textId="77777777" w:rsidR="00A15B67" w:rsidRPr="002C23C3" w:rsidRDefault="00A15B67" w:rsidP="00D268E2">
      <w:pPr>
        <w:pStyle w:val="Heading1"/>
        <w:rPr>
          <w:sz w:val="32"/>
          <w:szCs w:val="32"/>
          <w:lang w:val="en-US"/>
        </w:rPr>
      </w:pPr>
      <w:r w:rsidRPr="008211AF">
        <w:rPr>
          <w:b/>
          <w:bCs/>
          <w:sz w:val="32"/>
          <w:szCs w:val="32"/>
          <w:lang w:val="en-US"/>
        </w:rPr>
        <w:lastRenderedPageBreak/>
        <w:t>3.</w:t>
      </w:r>
      <w:r w:rsidRPr="002C23C3">
        <w:rPr>
          <w:sz w:val="32"/>
          <w:szCs w:val="32"/>
          <w:lang w:val="en-US"/>
        </w:rPr>
        <w:t xml:space="preserve"> Conclusion</w:t>
      </w:r>
    </w:p>
    <w:p w14:paraId="20500C9E" w14:textId="7EE74B7B" w:rsidR="00A15B67" w:rsidRDefault="00A15B67" w:rsidP="00D268E2">
      <w:pPr>
        <w:tabs>
          <w:tab w:val="left" w:pos="0"/>
        </w:tabs>
        <w:jc w:val="left"/>
        <w:rPr>
          <w:rFonts w:cs="Arial"/>
          <w:sz w:val="18"/>
          <w:szCs w:val="18"/>
        </w:rPr>
      </w:pPr>
      <w:r w:rsidRPr="00652907">
        <w:rPr>
          <w:rFonts w:cs="Arial"/>
          <w:sz w:val="18"/>
          <w:szCs w:val="18"/>
        </w:rPr>
        <w:t xml:space="preserve">In this contribution, </w:t>
      </w:r>
      <w:r w:rsidR="0072422D" w:rsidRPr="00652907">
        <w:rPr>
          <w:rFonts w:cs="Arial"/>
          <w:sz w:val="18"/>
          <w:szCs w:val="18"/>
        </w:rPr>
        <w:t xml:space="preserve">we discussed </w:t>
      </w:r>
      <w:r w:rsidR="007E17DE">
        <w:rPr>
          <w:rFonts w:cs="Arial"/>
          <w:sz w:val="18"/>
          <w:szCs w:val="18"/>
        </w:rPr>
        <w:t xml:space="preserve">various </w:t>
      </w:r>
      <w:r w:rsidR="0072422D" w:rsidRPr="00652907">
        <w:rPr>
          <w:rFonts w:cs="Arial"/>
          <w:sz w:val="18"/>
          <w:szCs w:val="18"/>
        </w:rPr>
        <w:t xml:space="preserve">LCM </w:t>
      </w:r>
      <w:r w:rsidR="007E17DE">
        <w:rPr>
          <w:rFonts w:cs="Arial"/>
          <w:sz w:val="18"/>
          <w:szCs w:val="18"/>
        </w:rPr>
        <w:t>and functionality management aspects</w:t>
      </w:r>
      <w:r w:rsidR="0072422D" w:rsidRPr="00652907">
        <w:rPr>
          <w:rFonts w:cs="Arial"/>
          <w:sz w:val="18"/>
          <w:szCs w:val="18"/>
        </w:rPr>
        <w:t xml:space="preserve"> </w:t>
      </w:r>
      <w:r w:rsidR="007E17DE">
        <w:rPr>
          <w:rFonts w:cs="Arial"/>
          <w:sz w:val="18"/>
          <w:szCs w:val="18"/>
        </w:rPr>
        <w:t>for</w:t>
      </w:r>
      <w:r w:rsidR="007E17DE" w:rsidRPr="00652907">
        <w:rPr>
          <w:rFonts w:cs="Arial"/>
          <w:sz w:val="18"/>
          <w:szCs w:val="18"/>
        </w:rPr>
        <w:t xml:space="preserve"> </w:t>
      </w:r>
      <w:r w:rsidR="0072422D" w:rsidRPr="00652907">
        <w:rPr>
          <w:rFonts w:cs="Arial"/>
          <w:sz w:val="18"/>
          <w:szCs w:val="18"/>
        </w:rPr>
        <w:t xml:space="preserve">the </w:t>
      </w:r>
      <w:r w:rsidR="004669FE">
        <w:rPr>
          <w:rFonts w:cs="Arial"/>
          <w:sz w:val="18"/>
          <w:szCs w:val="18"/>
        </w:rPr>
        <w:t>RRM measurement prediction functionality</w:t>
      </w:r>
      <w:r w:rsidR="007E17DE">
        <w:rPr>
          <w:rFonts w:cs="Arial"/>
          <w:sz w:val="18"/>
          <w:szCs w:val="18"/>
        </w:rPr>
        <w:t>. T</w:t>
      </w:r>
      <w:r w:rsidRPr="00652907">
        <w:rPr>
          <w:rFonts w:cs="Arial"/>
          <w:sz w:val="18"/>
          <w:szCs w:val="18"/>
        </w:rPr>
        <w:t xml:space="preserve">he </w:t>
      </w:r>
      <w:r w:rsidR="00BC59D5">
        <w:rPr>
          <w:rFonts w:cs="Arial"/>
          <w:sz w:val="18"/>
          <w:szCs w:val="18"/>
        </w:rPr>
        <w:t>following</w:t>
      </w:r>
      <w:r w:rsidR="00BC59D5" w:rsidRPr="00652907">
        <w:rPr>
          <w:rFonts w:cs="Arial"/>
          <w:sz w:val="18"/>
          <w:szCs w:val="18"/>
        </w:rPr>
        <w:t xml:space="preserve"> </w:t>
      </w:r>
      <w:r w:rsidRPr="00652907">
        <w:rPr>
          <w:rFonts w:cs="Arial"/>
          <w:sz w:val="18"/>
          <w:szCs w:val="18"/>
        </w:rPr>
        <w:t>observations and proposals were made:</w:t>
      </w:r>
    </w:p>
    <w:p w14:paraId="7B2ADC9F" w14:textId="77777777" w:rsidR="009447C3" w:rsidRDefault="009447C3" w:rsidP="00D268E2">
      <w:pPr>
        <w:tabs>
          <w:tab w:val="left" w:pos="0"/>
        </w:tabs>
        <w:jc w:val="left"/>
        <w:rPr>
          <w:rFonts w:cs="Arial"/>
          <w:sz w:val="18"/>
          <w:szCs w:val="18"/>
        </w:rPr>
      </w:pPr>
    </w:p>
    <w:p w14:paraId="1204D2E7" w14:textId="53D6653F" w:rsidR="00CA3A51" w:rsidRPr="00D268E2" w:rsidRDefault="00CA3A51" w:rsidP="00CA3A51">
      <w:pPr>
        <w:tabs>
          <w:tab w:val="left" w:pos="1377"/>
        </w:tabs>
        <w:ind w:left="1354" w:hanging="1354"/>
        <w:jc w:val="left"/>
        <w:rPr>
          <w:rFonts w:cs="Arial"/>
          <w:bCs/>
          <w:i/>
          <w:iCs/>
        </w:rPr>
      </w:pPr>
      <w:r w:rsidRPr="00733CA5">
        <w:rPr>
          <w:rFonts w:cs="Arial"/>
          <w:bCs/>
          <w:i/>
          <w:iCs/>
        </w:rPr>
        <w:t xml:space="preserve">Observation </w:t>
      </w:r>
      <w:r>
        <w:rPr>
          <w:rFonts w:cs="Arial"/>
          <w:bCs/>
          <w:i/>
          <w:iCs/>
        </w:rPr>
        <w:t>1</w:t>
      </w:r>
      <w:r w:rsidRPr="00733CA5">
        <w:rPr>
          <w:rFonts w:cs="Arial"/>
          <w:bCs/>
          <w:i/>
          <w:iCs/>
        </w:rPr>
        <w:t xml:space="preserve">: </w:t>
      </w:r>
      <w:r>
        <w:rPr>
          <w:rFonts w:cs="Arial"/>
          <w:bCs/>
          <w:i/>
          <w:iCs/>
        </w:rPr>
        <w:t xml:space="preserve">The UE may have multiple </w:t>
      </w:r>
      <w:r w:rsidR="00A32E11">
        <w:rPr>
          <w:rFonts w:cs="Arial"/>
          <w:bCs/>
          <w:i/>
          <w:iCs/>
        </w:rPr>
        <w:t>predicted samples</w:t>
      </w:r>
      <w:r>
        <w:rPr>
          <w:rFonts w:cs="Arial"/>
          <w:bCs/>
          <w:i/>
          <w:iCs/>
        </w:rPr>
        <w:t xml:space="preserve"> available to report for a given cell/beam.</w:t>
      </w:r>
    </w:p>
    <w:p w14:paraId="49BA4637" w14:textId="2F883272" w:rsidR="00CA3A51" w:rsidRPr="008211AF" w:rsidRDefault="00CA3A51" w:rsidP="00CA3A51">
      <w:pPr>
        <w:tabs>
          <w:tab w:val="left" w:pos="1377"/>
        </w:tabs>
        <w:ind w:left="1354" w:hanging="1354"/>
        <w:jc w:val="left"/>
        <w:rPr>
          <w:rFonts w:cs="Arial"/>
          <w:bCs/>
          <w:i/>
          <w:iCs/>
        </w:rPr>
      </w:pPr>
      <w:r w:rsidRPr="00733CA5">
        <w:rPr>
          <w:rFonts w:cs="Arial"/>
          <w:bCs/>
          <w:i/>
          <w:iCs/>
        </w:rPr>
        <w:t xml:space="preserve">Observation </w:t>
      </w:r>
      <w:r>
        <w:rPr>
          <w:rFonts w:cs="Arial"/>
          <w:bCs/>
          <w:i/>
          <w:iCs/>
        </w:rPr>
        <w:t>2</w:t>
      </w:r>
      <w:r w:rsidRPr="00733CA5">
        <w:rPr>
          <w:rFonts w:cs="Arial"/>
          <w:bCs/>
          <w:i/>
          <w:iCs/>
        </w:rPr>
        <w:t xml:space="preserve">: </w:t>
      </w:r>
      <w:r>
        <w:rPr>
          <w:rFonts w:cs="Arial"/>
          <w:bCs/>
          <w:i/>
          <w:iCs/>
        </w:rPr>
        <w:t xml:space="preserve">There may be cases in AIML mobility where there is a partial match between the associated IDs of the input/output cells used during the training of the AIML model and the current associated IDs of the concerned cells. </w:t>
      </w:r>
    </w:p>
    <w:p w14:paraId="2A657C3D" w14:textId="77777777" w:rsidR="008D38C9" w:rsidRDefault="008D38C9" w:rsidP="008D38C9">
      <w:pPr>
        <w:tabs>
          <w:tab w:val="left" w:pos="1377"/>
        </w:tabs>
        <w:ind w:left="1354" w:hanging="1354"/>
        <w:jc w:val="left"/>
        <w:rPr>
          <w:rFonts w:eastAsia="DengXian"/>
        </w:rPr>
      </w:pPr>
      <w:r w:rsidRPr="00733CA5">
        <w:rPr>
          <w:rFonts w:cs="Arial"/>
          <w:bCs/>
          <w:i/>
          <w:iCs/>
        </w:rPr>
        <w:t xml:space="preserve">Observation </w:t>
      </w:r>
      <w:r>
        <w:rPr>
          <w:rFonts w:cs="Arial"/>
          <w:bCs/>
          <w:i/>
          <w:iCs/>
        </w:rPr>
        <w:t>3</w:t>
      </w:r>
      <w:r w:rsidRPr="00733CA5">
        <w:rPr>
          <w:rFonts w:cs="Arial"/>
          <w:bCs/>
          <w:i/>
          <w:iCs/>
        </w:rPr>
        <w:t xml:space="preserve">: </w:t>
      </w:r>
      <w:r>
        <w:rPr>
          <w:rFonts w:cs="Arial"/>
          <w:bCs/>
          <w:i/>
          <w:iCs/>
        </w:rPr>
        <w:t>Performing RRM measurement predictions all the time is highly inefficient (e.g., when the UE is under excellent serving cell coverage).</w:t>
      </w:r>
    </w:p>
    <w:p w14:paraId="7E2D702F" w14:textId="77777777" w:rsidR="008D38C9" w:rsidRPr="008211AF" w:rsidRDefault="008D38C9" w:rsidP="008D38C9">
      <w:pPr>
        <w:tabs>
          <w:tab w:val="left" w:pos="1377"/>
        </w:tabs>
        <w:ind w:left="1354" w:hanging="1354"/>
        <w:jc w:val="left"/>
        <w:rPr>
          <w:i/>
          <w:iCs/>
        </w:rPr>
      </w:pPr>
      <w:r w:rsidRPr="008211AF">
        <w:rPr>
          <w:i/>
          <w:iCs/>
        </w:rPr>
        <w:t xml:space="preserve">Observation 4: </w:t>
      </w:r>
      <w:r>
        <w:rPr>
          <w:i/>
          <w:iCs/>
        </w:rPr>
        <w:t xml:space="preserve">For temporal/intra-frequency predictions, the UE already has the measurement configurations required for acquiring the ground truth for the purpose of performance monitoring. </w:t>
      </w:r>
    </w:p>
    <w:p w14:paraId="3035AB3E" w14:textId="77777777" w:rsidR="008D38C9" w:rsidRDefault="008D38C9" w:rsidP="008D38C9">
      <w:pPr>
        <w:tabs>
          <w:tab w:val="left" w:pos="1377"/>
        </w:tabs>
        <w:ind w:left="1354" w:hanging="1354"/>
        <w:jc w:val="left"/>
        <w:rPr>
          <w:i/>
          <w:iCs/>
        </w:rPr>
      </w:pPr>
      <w:r w:rsidRPr="008211AF">
        <w:rPr>
          <w:i/>
          <w:iCs/>
        </w:rPr>
        <w:t xml:space="preserve">Observation </w:t>
      </w:r>
      <w:r>
        <w:rPr>
          <w:i/>
          <w:iCs/>
        </w:rPr>
        <w:t>5</w:t>
      </w:r>
      <w:r w:rsidRPr="008211AF">
        <w:rPr>
          <w:i/>
          <w:iCs/>
        </w:rPr>
        <w:t>: A UE may need to be configured with measurement gaps to be able to conduct performance monitoring for inter-frequency prediction cases.</w:t>
      </w:r>
    </w:p>
    <w:p w14:paraId="05340878" w14:textId="77777777" w:rsidR="009447C3" w:rsidRDefault="009447C3" w:rsidP="00CA3A51">
      <w:pPr>
        <w:tabs>
          <w:tab w:val="left" w:pos="1377"/>
        </w:tabs>
        <w:ind w:left="1170" w:hanging="1170"/>
        <w:jc w:val="left"/>
        <w:rPr>
          <w:rFonts w:cs="Arial"/>
          <w:b/>
        </w:rPr>
      </w:pPr>
    </w:p>
    <w:p w14:paraId="2E4368F4" w14:textId="7D82278B" w:rsidR="00CA3A51" w:rsidRDefault="00CA3A51" w:rsidP="00CA3A51">
      <w:pPr>
        <w:tabs>
          <w:tab w:val="left" w:pos="1377"/>
        </w:tabs>
        <w:ind w:left="1170" w:hanging="1170"/>
        <w:jc w:val="left"/>
        <w:rPr>
          <w:rFonts w:cs="Arial"/>
          <w:b/>
        </w:rPr>
      </w:pPr>
      <w:r w:rsidRPr="002C23C3">
        <w:rPr>
          <w:rFonts w:cs="Arial"/>
          <w:b/>
        </w:rPr>
        <w:t xml:space="preserve">Proposal </w:t>
      </w:r>
      <w:r>
        <w:rPr>
          <w:rFonts w:cs="Arial"/>
          <w:b/>
        </w:rPr>
        <w:t>1</w:t>
      </w:r>
      <w:r w:rsidRPr="002C23C3">
        <w:rPr>
          <w:rFonts w:cs="Arial"/>
          <w:b/>
        </w:rPr>
        <w:t>: For temporal domain case B</w:t>
      </w:r>
      <w:r w:rsidRPr="00652907">
        <w:rPr>
          <w:rFonts w:cs="Arial"/>
          <w:b/>
        </w:rPr>
        <w:t xml:space="preserve"> and</w:t>
      </w:r>
      <w:r w:rsidRPr="002C23C3">
        <w:rPr>
          <w:rFonts w:cs="Arial"/>
          <w:b/>
        </w:rPr>
        <w:t xml:space="preserve"> frequency domain</w:t>
      </w:r>
      <w:r w:rsidRPr="00652907">
        <w:rPr>
          <w:rFonts w:cs="Arial"/>
          <w:b/>
        </w:rPr>
        <w:t xml:space="preserve"> RRM measurement prediction</w:t>
      </w:r>
      <w:r w:rsidR="00662E97">
        <w:rPr>
          <w:rFonts w:cs="Arial"/>
          <w:b/>
        </w:rPr>
        <w:t>s</w:t>
      </w:r>
      <w:r w:rsidRPr="002C23C3">
        <w:rPr>
          <w:rFonts w:cs="Arial"/>
          <w:b/>
        </w:rPr>
        <w:t>,</w:t>
      </w:r>
      <w:r w:rsidRPr="00652907">
        <w:rPr>
          <w:rFonts w:cs="Arial"/>
          <w:b/>
        </w:rPr>
        <w:t xml:space="preserve"> </w:t>
      </w:r>
      <w:r>
        <w:rPr>
          <w:rFonts w:cs="Arial"/>
          <w:b/>
        </w:rPr>
        <w:t xml:space="preserve">the </w:t>
      </w:r>
      <w:r w:rsidRPr="00652907">
        <w:rPr>
          <w:rFonts w:cs="Arial"/>
          <w:b/>
        </w:rPr>
        <w:t>legacy RRM measurement reporting configuration can be reused.</w:t>
      </w:r>
    </w:p>
    <w:p w14:paraId="7F8675BC" w14:textId="15052EA8" w:rsidR="00CA3A51" w:rsidRDefault="00CA3A51" w:rsidP="00CA3A51">
      <w:pPr>
        <w:tabs>
          <w:tab w:val="left" w:pos="1377"/>
        </w:tabs>
        <w:ind w:left="1170" w:hanging="1170"/>
        <w:jc w:val="left"/>
        <w:rPr>
          <w:rFonts w:cs="Arial"/>
          <w:b/>
        </w:rPr>
      </w:pPr>
      <w:r w:rsidRPr="002C23C3">
        <w:rPr>
          <w:rFonts w:cs="Arial"/>
          <w:b/>
        </w:rPr>
        <w:t xml:space="preserve">Proposal </w:t>
      </w:r>
      <w:r>
        <w:rPr>
          <w:rFonts w:cs="Arial"/>
          <w:b/>
        </w:rPr>
        <w:t>2</w:t>
      </w:r>
      <w:r w:rsidRPr="002C23C3">
        <w:rPr>
          <w:rFonts w:cs="Arial"/>
          <w:b/>
        </w:rPr>
        <w:t xml:space="preserve">: For temporal domain case </w:t>
      </w:r>
      <w:r w:rsidRPr="00652907">
        <w:rPr>
          <w:rFonts w:cs="Arial"/>
          <w:b/>
        </w:rPr>
        <w:t xml:space="preserve">A RRM measurement prediction, </w:t>
      </w:r>
      <w:r w:rsidR="00A801B5">
        <w:rPr>
          <w:rFonts w:cs="Arial"/>
          <w:b/>
        </w:rPr>
        <w:t xml:space="preserve">the following </w:t>
      </w:r>
      <w:r w:rsidRPr="00652907">
        <w:rPr>
          <w:rFonts w:cs="Arial"/>
          <w:b/>
        </w:rPr>
        <w:t xml:space="preserve">enhancements are needed </w:t>
      </w:r>
      <w:r>
        <w:rPr>
          <w:rFonts w:cs="Arial"/>
          <w:b/>
        </w:rPr>
        <w:t>to the legacy RRM measurement reporting configuration:</w:t>
      </w:r>
    </w:p>
    <w:p w14:paraId="645F9838" w14:textId="77777777" w:rsidR="00CA3A51" w:rsidRDefault="00CA3A51" w:rsidP="00CA3A51">
      <w:pPr>
        <w:pStyle w:val="ListParagraph"/>
        <w:numPr>
          <w:ilvl w:val="0"/>
          <w:numId w:val="59"/>
        </w:numPr>
        <w:tabs>
          <w:tab w:val="left" w:pos="1377"/>
        </w:tabs>
        <w:jc w:val="left"/>
        <w:rPr>
          <w:rFonts w:cs="Arial"/>
          <w:b/>
        </w:rPr>
      </w:pPr>
      <w:r w:rsidRPr="00D268E2">
        <w:rPr>
          <w:rFonts w:cs="Arial"/>
          <w:b/>
        </w:rPr>
        <w:t>To allow the reporting of multiple RRM measurement samples for a given cell/beam</w:t>
      </w:r>
      <w:r>
        <w:rPr>
          <w:rFonts w:cs="Arial"/>
          <w:b/>
        </w:rPr>
        <w:t>.</w:t>
      </w:r>
    </w:p>
    <w:p w14:paraId="425F7DFA" w14:textId="77777777" w:rsidR="00CA3A51" w:rsidRPr="00D268E2" w:rsidRDefault="00CA3A51" w:rsidP="00CA3A51">
      <w:pPr>
        <w:pStyle w:val="ListParagraph"/>
        <w:numPr>
          <w:ilvl w:val="0"/>
          <w:numId w:val="59"/>
        </w:numPr>
        <w:tabs>
          <w:tab w:val="left" w:pos="1377"/>
        </w:tabs>
        <w:jc w:val="left"/>
        <w:rPr>
          <w:rFonts w:cs="Arial"/>
          <w:b/>
        </w:rPr>
      </w:pPr>
      <w:r>
        <w:rPr>
          <w:rFonts w:cs="Arial"/>
          <w:b/>
        </w:rPr>
        <w:t>T</w:t>
      </w:r>
      <w:r w:rsidRPr="00D268E2">
        <w:rPr>
          <w:rFonts w:cs="Arial"/>
          <w:b/>
        </w:rPr>
        <w:t xml:space="preserve">o control the content of the reporting (detailed </w:t>
      </w:r>
      <w:r>
        <w:rPr>
          <w:rFonts w:cs="Arial"/>
          <w:b/>
        </w:rPr>
        <w:t>vs</w:t>
      </w:r>
      <w:r w:rsidRPr="00D268E2">
        <w:rPr>
          <w:rFonts w:cs="Arial"/>
          <w:b/>
        </w:rPr>
        <w:t xml:space="preserve"> </w:t>
      </w:r>
      <w:r>
        <w:rPr>
          <w:rFonts w:cs="Arial"/>
          <w:b/>
        </w:rPr>
        <w:t>summarized</w:t>
      </w:r>
      <w:r w:rsidRPr="00D268E2">
        <w:rPr>
          <w:rFonts w:cs="Arial"/>
          <w:b/>
        </w:rPr>
        <w:t xml:space="preserve"> information about the predicted samples).</w:t>
      </w:r>
    </w:p>
    <w:p w14:paraId="47C40BE6" w14:textId="77777777" w:rsidR="008D38C9" w:rsidRDefault="008D38C9" w:rsidP="008D38C9">
      <w:pPr>
        <w:tabs>
          <w:tab w:val="left" w:pos="1377"/>
        </w:tabs>
        <w:ind w:left="1170" w:hanging="1170"/>
        <w:jc w:val="left"/>
        <w:rPr>
          <w:rFonts w:cs="Arial"/>
          <w:b/>
        </w:rPr>
      </w:pPr>
      <w:r w:rsidRPr="00652907">
        <w:rPr>
          <w:rFonts w:cs="Arial"/>
          <w:b/>
        </w:rPr>
        <w:t xml:space="preserve">Proposal </w:t>
      </w:r>
      <w:r>
        <w:rPr>
          <w:rFonts w:cs="Arial"/>
          <w:b/>
        </w:rPr>
        <w:t>3</w:t>
      </w:r>
      <w:r w:rsidRPr="00652907">
        <w:rPr>
          <w:rFonts w:cs="Arial"/>
          <w:b/>
        </w:rPr>
        <w:t xml:space="preserve">: </w:t>
      </w:r>
      <w:r>
        <w:rPr>
          <w:rFonts w:cs="Arial"/>
          <w:b/>
        </w:rPr>
        <w:t xml:space="preserve">An </w:t>
      </w:r>
      <w:r w:rsidRPr="00652907">
        <w:rPr>
          <w:rFonts w:cs="Arial"/>
          <w:b/>
        </w:rPr>
        <w:t>RRM measurement prediction configuration</w:t>
      </w:r>
      <w:r>
        <w:rPr>
          <w:rFonts w:cs="Arial"/>
          <w:b/>
        </w:rPr>
        <w:t xml:space="preserve"> may be fully applicable, fully non-applicable, or partially applicable. </w:t>
      </w:r>
    </w:p>
    <w:p w14:paraId="23D9102C" w14:textId="77777777" w:rsidR="008D38C9" w:rsidRDefault="008D38C9" w:rsidP="008D38C9">
      <w:pPr>
        <w:tabs>
          <w:tab w:val="left" w:pos="1377"/>
        </w:tabs>
        <w:ind w:left="1170" w:hanging="1170"/>
        <w:jc w:val="left"/>
        <w:rPr>
          <w:rFonts w:cs="Arial"/>
          <w:b/>
        </w:rPr>
      </w:pPr>
      <w:r w:rsidRPr="00652907">
        <w:rPr>
          <w:rFonts w:cs="Arial"/>
          <w:b/>
        </w:rPr>
        <w:t xml:space="preserve">Proposal </w:t>
      </w:r>
      <w:r>
        <w:rPr>
          <w:rFonts w:cs="Arial"/>
          <w:b/>
        </w:rPr>
        <w:t>4</w:t>
      </w:r>
      <w:r w:rsidRPr="00652907">
        <w:rPr>
          <w:rFonts w:cs="Arial"/>
          <w:b/>
        </w:rPr>
        <w:t xml:space="preserve">: The UE </w:t>
      </w:r>
      <w:r>
        <w:rPr>
          <w:rFonts w:cs="Arial"/>
          <w:b/>
        </w:rPr>
        <w:t>can be configured to start performing RRM measurement predictions in one of the following ways:</w:t>
      </w:r>
    </w:p>
    <w:p w14:paraId="594E3E9A" w14:textId="77777777" w:rsidR="008D38C9" w:rsidRPr="008211AF" w:rsidRDefault="008D38C9" w:rsidP="008D38C9">
      <w:pPr>
        <w:pStyle w:val="ListParagraph"/>
        <w:numPr>
          <w:ilvl w:val="0"/>
          <w:numId w:val="57"/>
        </w:numPr>
        <w:tabs>
          <w:tab w:val="left" w:pos="1377"/>
        </w:tabs>
        <w:ind w:left="1354" w:hanging="216"/>
        <w:jc w:val="left"/>
        <w:rPr>
          <w:rFonts w:cs="Arial"/>
          <w:b/>
        </w:rPr>
      </w:pPr>
      <w:r w:rsidRPr="003A22C1">
        <w:rPr>
          <w:rFonts w:cs="Arial"/>
          <w:b/>
        </w:rPr>
        <w:t>A</w:t>
      </w:r>
      <w:r w:rsidRPr="008211AF">
        <w:rPr>
          <w:rFonts w:cs="Arial"/>
          <w:b/>
        </w:rPr>
        <w:t>utomatically</w:t>
      </w:r>
      <w:r>
        <w:rPr>
          <w:rFonts w:cs="Arial"/>
          <w:b/>
        </w:rPr>
        <w:t xml:space="preserve">, </w:t>
      </w:r>
      <w:r w:rsidRPr="008211AF">
        <w:rPr>
          <w:rFonts w:cs="Arial"/>
          <w:b/>
        </w:rPr>
        <w:t xml:space="preserve">upon the reception of the inference configuration and </w:t>
      </w:r>
      <w:r>
        <w:rPr>
          <w:rFonts w:cs="Arial"/>
          <w:b/>
        </w:rPr>
        <w:t xml:space="preserve">after </w:t>
      </w:r>
      <w:r w:rsidRPr="008211AF">
        <w:rPr>
          <w:rFonts w:cs="Arial"/>
          <w:b/>
        </w:rPr>
        <w:t>determining that it has an applicable model</w:t>
      </w:r>
      <w:r>
        <w:rPr>
          <w:rFonts w:cs="Arial"/>
          <w:b/>
        </w:rPr>
        <w:t>.</w:t>
      </w:r>
    </w:p>
    <w:p w14:paraId="29C472E3" w14:textId="22CF12C4" w:rsidR="008D38C9" w:rsidRPr="008211AF" w:rsidRDefault="008D38C9" w:rsidP="008D38C9">
      <w:pPr>
        <w:pStyle w:val="ListParagraph"/>
        <w:numPr>
          <w:ilvl w:val="0"/>
          <w:numId w:val="57"/>
        </w:numPr>
        <w:tabs>
          <w:tab w:val="left" w:pos="1377"/>
        </w:tabs>
        <w:ind w:left="1354" w:hanging="216"/>
        <w:jc w:val="left"/>
        <w:rPr>
          <w:rFonts w:cs="Arial"/>
          <w:b/>
        </w:rPr>
      </w:pPr>
      <w:r>
        <w:rPr>
          <w:rFonts w:cs="Arial"/>
          <w:b/>
        </w:rPr>
        <w:t>Upon</w:t>
      </w:r>
      <w:r w:rsidRPr="008211AF">
        <w:rPr>
          <w:rFonts w:cs="Arial"/>
          <w:b/>
        </w:rPr>
        <w:t xml:space="preserve"> the fulfillment of further conditions.</w:t>
      </w:r>
      <w:r w:rsidR="00B05112">
        <w:rPr>
          <w:rFonts w:cs="Arial"/>
          <w:b/>
        </w:rPr>
        <w:t xml:space="preserve"> </w:t>
      </w:r>
      <w:r w:rsidRPr="008211AF">
        <w:rPr>
          <w:rFonts w:cs="Arial"/>
          <w:b/>
        </w:rPr>
        <w:t>The details of the conditions are FFS (e.g., configuration like the s-measure for starting inference).</w:t>
      </w:r>
    </w:p>
    <w:p w14:paraId="36758AEB" w14:textId="77777777" w:rsidR="008D38C9" w:rsidRPr="00EA074C" w:rsidRDefault="008D38C9" w:rsidP="008D38C9">
      <w:pPr>
        <w:ind w:left="1152" w:hanging="1152"/>
        <w:jc w:val="left"/>
        <w:rPr>
          <w:b/>
          <w:bCs/>
        </w:rPr>
      </w:pPr>
      <w:r>
        <w:rPr>
          <w:b/>
          <w:bCs/>
        </w:rPr>
        <w:t>Proposal 5: For inter-frequency RRM measurement prediction, the UE can be configured with measurement gaps to be able to undertake performance monitoring and/or fallback to legacy inter-frequency measurements when the prediction performance falls below a required level. FFS if the gap configurations for performance monitoring and fallback are different.</w:t>
      </w:r>
    </w:p>
    <w:p w14:paraId="131B6E6C" w14:textId="77777777" w:rsidR="00A15B67" w:rsidRPr="002C23C3" w:rsidRDefault="00A15B67" w:rsidP="00D268E2">
      <w:pPr>
        <w:pStyle w:val="Heading1"/>
        <w:rPr>
          <w:sz w:val="32"/>
          <w:szCs w:val="32"/>
          <w:lang w:val="en-US"/>
        </w:rPr>
      </w:pPr>
      <w:r w:rsidRPr="002C23C3">
        <w:rPr>
          <w:sz w:val="32"/>
          <w:szCs w:val="32"/>
          <w:lang w:val="en-US"/>
        </w:rPr>
        <w:t>4. References</w:t>
      </w:r>
    </w:p>
    <w:p w14:paraId="60FAE2D9" w14:textId="28868ABC" w:rsidR="008E304A" w:rsidRDefault="00A15B67" w:rsidP="00D268E2">
      <w:pPr>
        <w:ind w:left="567" w:hanging="567"/>
        <w:jc w:val="left"/>
        <w:rPr>
          <w:rFonts w:cs="Arial"/>
        </w:rPr>
      </w:pPr>
      <w:r w:rsidRPr="00652907">
        <w:rPr>
          <w:rFonts w:cs="Arial"/>
        </w:rPr>
        <w:t>[1]</w:t>
      </w:r>
      <w:r w:rsidRPr="00652907">
        <w:rPr>
          <w:rFonts w:cs="Arial"/>
        </w:rPr>
        <w:tab/>
      </w:r>
      <w:bookmarkStart w:id="1" w:name="_Hlk162962146"/>
      <w:r w:rsidR="008F27CF" w:rsidRPr="00652907">
        <w:rPr>
          <w:rFonts w:cs="Arial"/>
        </w:rPr>
        <w:t>RAN2</w:t>
      </w:r>
      <w:r w:rsidR="00F04F8D">
        <w:rPr>
          <w:rFonts w:cs="Arial"/>
        </w:rPr>
        <w:t xml:space="preserve"> #</w:t>
      </w:r>
      <w:r w:rsidR="008F27CF" w:rsidRPr="00652907">
        <w:rPr>
          <w:rFonts w:cs="Arial"/>
        </w:rPr>
        <w:t>1</w:t>
      </w:r>
      <w:r w:rsidR="008E256B">
        <w:rPr>
          <w:rFonts w:cs="Arial"/>
        </w:rPr>
        <w:t>30</w:t>
      </w:r>
      <w:r w:rsidR="008F27CF" w:rsidRPr="00652907">
        <w:rPr>
          <w:rFonts w:cs="Arial"/>
        </w:rPr>
        <w:t xml:space="preserve"> Chairman Notes, </w:t>
      </w:r>
      <w:r w:rsidR="008E256B">
        <w:rPr>
          <w:rFonts w:cs="Arial"/>
        </w:rPr>
        <w:t>Malta, May</w:t>
      </w:r>
      <w:r w:rsidR="008F27CF" w:rsidRPr="00652907">
        <w:rPr>
          <w:rFonts w:cs="Arial"/>
        </w:rPr>
        <w:t xml:space="preserve"> 2025</w:t>
      </w:r>
      <w:r w:rsidR="00F636A1">
        <w:rPr>
          <w:rFonts w:cs="Arial"/>
        </w:rPr>
        <w:t>.</w:t>
      </w:r>
    </w:p>
    <w:p w14:paraId="444F8461" w14:textId="35D51144" w:rsidR="002649D1" w:rsidRPr="00CD1DBB" w:rsidRDefault="00675BCC" w:rsidP="00D268E2">
      <w:pPr>
        <w:ind w:left="567" w:hanging="567"/>
        <w:jc w:val="left"/>
        <w:rPr>
          <w:rFonts w:cs="Arial"/>
        </w:rPr>
      </w:pPr>
      <w:r>
        <w:rPr>
          <w:rFonts w:cs="Arial"/>
        </w:rPr>
        <w:t xml:space="preserve">[2] </w:t>
      </w:r>
      <w:r w:rsidR="00F04F8D">
        <w:rPr>
          <w:rFonts w:cs="Arial"/>
        </w:rPr>
        <w:tab/>
      </w:r>
      <w:r w:rsidRPr="00652907">
        <w:rPr>
          <w:rFonts w:cs="Arial"/>
        </w:rPr>
        <w:t>RAN2</w:t>
      </w:r>
      <w:r w:rsidR="00F04F8D">
        <w:rPr>
          <w:rFonts w:cs="Arial"/>
        </w:rPr>
        <w:t xml:space="preserve"> #</w:t>
      </w:r>
      <w:r>
        <w:rPr>
          <w:rFonts w:cs="Arial"/>
        </w:rPr>
        <w:t>129bis</w:t>
      </w:r>
      <w:r w:rsidRPr="00652907">
        <w:rPr>
          <w:rFonts w:cs="Arial"/>
        </w:rPr>
        <w:t xml:space="preserve"> Chairman Notes, </w:t>
      </w:r>
      <w:r w:rsidR="00F04F8D">
        <w:rPr>
          <w:rFonts w:cs="Arial"/>
        </w:rPr>
        <w:t>China</w:t>
      </w:r>
      <w:r>
        <w:rPr>
          <w:rFonts w:cs="Arial"/>
        </w:rPr>
        <w:t xml:space="preserve">, </w:t>
      </w:r>
      <w:r w:rsidR="00F04F8D">
        <w:rPr>
          <w:rFonts w:cs="Arial"/>
        </w:rPr>
        <w:t>April</w:t>
      </w:r>
      <w:r w:rsidRPr="00652907">
        <w:rPr>
          <w:rFonts w:cs="Arial"/>
        </w:rPr>
        <w:t xml:space="preserve"> 2025</w:t>
      </w:r>
      <w:r w:rsidR="00551768">
        <w:rPr>
          <w:rFonts w:cs="Arial"/>
        </w:rPr>
        <w:t>.</w:t>
      </w:r>
      <w:bookmarkEnd w:id="1"/>
    </w:p>
    <w:sectPr w:rsidR="002649D1" w:rsidRPr="00CD1DBB"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623A1" w14:textId="77777777" w:rsidR="003A67C8" w:rsidRPr="00652907" w:rsidRDefault="003A67C8">
      <w:r w:rsidRPr="00652907">
        <w:separator/>
      </w:r>
    </w:p>
  </w:endnote>
  <w:endnote w:type="continuationSeparator" w:id="0">
    <w:p w14:paraId="2D1A982A" w14:textId="77777777" w:rsidR="003A67C8" w:rsidRPr="00652907" w:rsidRDefault="003A67C8">
      <w:r w:rsidRPr="00652907">
        <w:continuationSeparator/>
      </w:r>
    </w:p>
  </w:endnote>
  <w:endnote w:type="continuationNotice" w:id="1">
    <w:p w14:paraId="39801D94" w14:textId="77777777" w:rsidR="003A67C8" w:rsidRPr="00652907" w:rsidRDefault="003A6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267D6" w14:textId="77777777" w:rsidR="003A67C8" w:rsidRPr="00652907" w:rsidRDefault="003A67C8">
      <w:r w:rsidRPr="00652907">
        <w:separator/>
      </w:r>
    </w:p>
  </w:footnote>
  <w:footnote w:type="continuationSeparator" w:id="0">
    <w:p w14:paraId="55151C3E" w14:textId="77777777" w:rsidR="003A67C8" w:rsidRPr="00652907" w:rsidRDefault="003A67C8">
      <w:r w:rsidRPr="00652907">
        <w:continuationSeparator/>
      </w:r>
    </w:p>
  </w:footnote>
  <w:footnote w:type="continuationNotice" w:id="1">
    <w:p w14:paraId="04691E31" w14:textId="77777777" w:rsidR="003A67C8" w:rsidRPr="00652907" w:rsidRDefault="003A67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358"/>
    <w:multiLevelType w:val="hybridMultilevel"/>
    <w:tmpl w:val="1ED2A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9B3BF4"/>
    <w:multiLevelType w:val="multilevel"/>
    <w:tmpl w:val="EE5E4E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5C7A41"/>
    <w:multiLevelType w:val="hybridMultilevel"/>
    <w:tmpl w:val="B96E39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091B0902"/>
    <w:multiLevelType w:val="hybridMultilevel"/>
    <w:tmpl w:val="538458F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6460C6"/>
    <w:multiLevelType w:val="hybridMultilevel"/>
    <w:tmpl w:val="058289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A067F7"/>
    <w:multiLevelType w:val="hybridMultilevel"/>
    <w:tmpl w:val="7860623C"/>
    <w:lvl w:ilvl="0" w:tplc="FD5072EC">
      <w:start w:val="1"/>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2CB72F37"/>
    <w:multiLevelType w:val="hybridMultilevel"/>
    <w:tmpl w:val="F7840D6A"/>
    <w:lvl w:ilvl="0" w:tplc="00E82F60">
      <w:start w:val="3"/>
      <w:numFmt w:val="decimal"/>
      <w:lvlText w:val="%1"/>
      <w:lvlJc w:val="left"/>
      <w:pPr>
        <w:ind w:left="360" w:hanging="360"/>
      </w:pPr>
      <w:rPr>
        <w:rFonts w:hint="default"/>
      </w:rPr>
    </w:lvl>
    <w:lvl w:ilvl="1" w:tplc="04090019">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1" w15:restartNumberingAfterBreak="0">
    <w:nsid w:val="2E664769"/>
    <w:multiLevelType w:val="hybridMultilevel"/>
    <w:tmpl w:val="74B4C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28055D"/>
    <w:multiLevelType w:val="hybridMultilevel"/>
    <w:tmpl w:val="DF86A140"/>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620321"/>
    <w:multiLevelType w:val="hybridMultilevel"/>
    <w:tmpl w:val="8FAE9506"/>
    <w:lvl w:ilvl="0" w:tplc="1EF868CA">
      <w:start w:val="2"/>
      <w:numFmt w:val="bullet"/>
      <w:lvlText w:val="-"/>
      <w:lvlJc w:val="left"/>
      <w:pPr>
        <w:ind w:left="720" w:hanging="360"/>
      </w:pPr>
      <w:rPr>
        <w:rFonts w:ascii="Arial" w:eastAsia="Batang"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D30E0E"/>
    <w:multiLevelType w:val="hybridMultilevel"/>
    <w:tmpl w:val="B31E05CE"/>
    <w:lvl w:ilvl="0" w:tplc="0D003536">
      <w:start w:val="10"/>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052DC1"/>
    <w:multiLevelType w:val="hybridMultilevel"/>
    <w:tmpl w:val="13201AC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3E5E5220"/>
    <w:multiLevelType w:val="hybridMultilevel"/>
    <w:tmpl w:val="78B4F0FC"/>
    <w:lvl w:ilvl="0" w:tplc="AC1429E4">
      <w:start w:val="1"/>
      <w:numFmt w:val="decimal"/>
      <w:lvlText w:val="%1."/>
      <w:lvlJc w:val="left"/>
      <w:pPr>
        <w:ind w:left="1299" w:hanging="372"/>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3EF331B7"/>
    <w:multiLevelType w:val="hybridMultilevel"/>
    <w:tmpl w:val="092C5D7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2" w15:restartNumberingAfterBreak="0">
    <w:nsid w:val="40694E64"/>
    <w:multiLevelType w:val="hybridMultilevel"/>
    <w:tmpl w:val="36604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23002D"/>
    <w:multiLevelType w:val="hybridMultilevel"/>
    <w:tmpl w:val="E4D8D318"/>
    <w:lvl w:ilvl="0" w:tplc="1EF868CA">
      <w:start w:val="2"/>
      <w:numFmt w:val="bullet"/>
      <w:lvlText w:val="-"/>
      <w:lvlJc w:val="left"/>
      <w:pPr>
        <w:ind w:left="720" w:hanging="360"/>
      </w:pPr>
      <w:rPr>
        <w:rFonts w:ascii="Arial" w:eastAsia="Batang"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4895385E"/>
    <w:multiLevelType w:val="hybridMultilevel"/>
    <w:tmpl w:val="355C8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7"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DCC3FE6"/>
    <w:multiLevelType w:val="hybridMultilevel"/>
    <w:tmpl w:val="7A105EB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65A0A62"/>
    <w:multiLevelType w:val="hybridMultilevel"/>
    <w:tmpl w:val="087CC772"/>
    <w:lvl w:ilvl="0" w:tplc="E2E27B9C">
      <w:start w:val="1"/>
      <w:numFmt w:val="bullet"/>
      <w:lvlText w:val="•"/>
      <w:lvlJc w:val="left"/>
      <w:pPr>
        <w:tabs>
          <w:tab w:val="num" w:pos="720"/>
        </w:tabs>
        <w:ind w:left="720" w:hanging="360"/>
      </w:pPr>
      <w:rPr>
        <w:rFonts w:ascii="Arial" w:hAnsi="Arial" w:hint="default"/>
      </w:rPr>
    </w:lvl>
    <w:lvl w:ilvl="1" w:tplc="9D66F9B6">
      <w:numFmt w:val="bullet"/>
      <w:lvlText w:val="•"/>
      <w:lvlJc w:val="left"/>
      <w:pPr>
        <w:tabs>
          <w:tab w:val="num" w:pos="1440"/>
        </w:tabs>
        <w:ind w:left="1440" w:hanging="360"/>
      </w:pPr>
      <w:rPr>
        <w:rFonts w:ascii="Arial" w:hAnsi="Arial" w:hint="default"/>
      </w:rPr>
    </w:lvl>
    <w:lvl w:ilvl="2" w:tplc="7AE8AFFE" w:tentative="1">
      <w:start w:val="1"/>
      <w:numFmt w:val="bullet"/>
      <w:lvlText w:val="•"/>
      <w:lvlJc w:val="left"/>
      <w:pPr>
        <w:tabs>
          <w:tab w:val="num" w:pos="2160"/>
        </w:tabs>
        <w:ind w:left="2160" w:hanging="360"/>
      </w:pPr>
      <w:rPr>
        <w:rFonts w:ascii="Arial" w:hAnsi="Arial" w:hint="default"/>
      </w:rPr>
    </w:lvl>
    <w:lvl w:ilvl="3" w:tplc="5A528048" w:tentative="1">
      <w:start w:val="1"/>
      <w:numFmt w:val="bullet"/>
      <w:lvlText w:val="•"/>
      <w:lvlJc w:val="left"/>
      <w:pPr>
        <w:tabs>
          <w:tab w:val="num" w:pos="2880"/>
        </w:tabs>
        <w:ind w:left="2880" w:hanging="360"/>
      </w:pPr>
      <w:rPr>
        <w:rFonts w:ascii="Arial" w:hAnsi="Arial" w:hint="default"/>
      </w:rPr>
    </w:lvl>
    <w:lvl w:ilvl="4" w:tplc="B3C89AC4" w:tentative="1">
      <w:start w:val="1"/>
      <w:numFmt w:val="bullet"/>
      <w:lvlText w:val="•"/>
      <w:lvlJc w:val="left"/>
      <w:pPr>
        <w:tabs>
          <w:tab w:val="num" w:pos="3600"/>
        </w:tabs>
        <w:ind w:left="3600" w:hanging="360"/>
      </w:pPr>
      <w:rPr>
        <w:rFonts w:ascii="Arial" w:hAnsi="Arial" w:hint="default"/>
      </w:rPr>
    </w:lvl>
    <w:lvl w:ilvl="5" w:tplc="FC6697F2" w:tentative="1">
      <w:start w:val="1"/>
      <w:numFmt w:val="bullet"/>
      <w:lvlText w:val="•"/>
      <w:lvlJc w:val="left"/>
      <w:pPr>
        <w:tabs>
          <w:tab w:val="num" w:pos="4320"/>
        </w:tabs>
        <w:ind w:left="4320" w:hanging="360"/>
      </w:pPr>
      <w:rPr>
        <w:rFonts w:ascii="Arial" w:hAnsi="Arial" w:hint="default"/>
      </w:rPr>
    </w:lvl>
    <w:lvl w:ilvl="6" w:tplc="A99EBF46" w:tentative="1">
      <w:start w:val="1"/>
      <w:numFmt w:val="bullet"/>
      <w:lvlText w:val="•"/>
      <w:lvlJc w:val="left"/>
      <w:pPr>
        <w:tabs>
          <w:tab w:val="num" w:pos="5040"/>
        </w:tabs>
        <w:ind w:left="5040" w:hanging="360"/>
      </w:pPr>
      <w:rPr>
        <w:rFonts w:ascii="Arial" w:hAnsi="Arial" w:hint="default"/>
      </w:rPr>
    </w:lvl>
    <w:lvl w:ilvl="7" w:tplc="942A73C2" w:tentative="1">
      <w:start w:val="1"/>
      <w:numFmt w:val="bullet"/>
      <w:lvlText w:val="•"/>
      <w:lvlJc w:val="left"/>
      <w:pPr>
        <w:tabs>
          <w:tab w:val="num" w:pos="5760"/>
        </w:tabs>
        <w:ind w:left="5760" w:hanging="360"/>
      </w:pPr>
      <w:rPr>
        <w:rFonts w:ascii="Arial" w:hAnsi="Arial" w:hint="default"/>
      </w:rPr>
    </w:lvl>
    <w:lvl w:ilvl="8" w:tplc="6312267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4A06DB"/>
    <w:multiLevelType w:val="hybridMultilevel"/>
    <w:tmpl w:val="313C1020"/>
    <w:lvl w:ilvl="0" w:tplc="F1A62ED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EC4657"/>
    <w:multiLevelType w:val="hybridMultilevel"/>
    <w:tmpl w:val="74266C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2625CA"/>
    <w:multiLevelType w:val="hybridMultilevel"/>
    <w:tmpl w:val="E452ABBC"/>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start w:val="1"/>
      <w:numFmt w:val="bullet"/>
      <w:lvlText w:val=""/>
      <w:lvlJc w:val="left"/>
      <w:pPr>
        <w:ind w:left="2261" w:hanging="360"/>
      </w:pPr>
      <w:rPr>
        <w:rFonts w:ascii="Wingdings" w:hAnsi="Wingdings" w:hint="default"/>
      </w:rPr>
    </w:lvl>
    <w:lvl w:ilvl="3" w:tplc="04090001">
      <w:start w:val="1"/>
      <w:numFmt w:val="bullet"/>
      <w:lvlText w:val=""/>
      <w:lvlJc w:val="left"/>
      <w:pPr>
        <w:ind w:left="2981" w:hanging="360"/>
      </w:pPr>
      <w:rPr>
        <w:rFonts w:ascii="Symbol" w:hAnsi="Symbol" w:hint="default"/>
      </w:rPr>
    </w:lvl>
    <w:lvl w:ilvl="4" w:tplc="04090003">
      <w:start w:val="1"/>
      <w:numFmt w:val="bullet"/>
      <w:lvlText w:val="o"/>
      <w:lvlJc w:val="left"/>
      <w:pPr>
        <w:ind w:left="3701" w:hanging="360"/>
      </w:pPr>
      <w:rPr>
        <w:rFonts w:ascii="Courier New" w:hAnsi="Courier New" w:cs="Courier New" w:hint="default"/>
      </w:rPr>
    </w:lvl>
    <w:lvl w:ilvl="5" w:tplc="04090005">
      <w:start w:val="1"/>
      <w:numFmt w:val="bullet"/>
      <w:lvlText w:val=""/>
      <w:lvlJc w:val="left"/>
      <w:pPr>
        <w:ind w:left="4421" w:hanging="360"/>
      </w:pPr>
      <w:rPr>
        <w:rFonts w:ascii="Wingdings" w:hAnsi="Wingdings" w:hint="default"/>
      </w:rPr>
    </w:lvl>
    <w:lvl w:ilvl="6" w:tplc="04090001">
      <w:start w:val="1"/>
      <w:numFmt w:val="bullet"/>
      <w:lvlText w:val=""/>
      <w:lvlJc w:val="left"/>
      <w:pPr>
        <w:ind w:left="5141" w:hanging="360"/>
      </w:pPr>
      <w:rPr>
        <w:rFonts w:ascii="Symbol" w:hAnsi="Symbol" w:hint="default"/>
      </w:rPr>
    </w:lvl>
    <w:lvl w:ilvl="7" w:tplc="04090003">
      <w:start w:val="1"/>
      <w:numFmt w:val="bullet"/>
      <w:lvlText w:val="o"/>
      <w:lvlJc w:val="left"/>
      <w:pPr>
        <w:ind w:left="5861" w:hanging="360"/>
      </w:pPr>
      <w:rPr>
        <w:rFonts w:ascii="Courier New" w:hAnsi="Courier New" w:cs="Courier New" w:hint="default"/>
      </w:rPr>
    </w:lvl>
    <w:lvl w:ilvl="8" w:tplc="04090005">
      <w:start w:val="1"/>
      <w:numFmt w:val="bullet"/>
      <w:lvlText w:val=""/>
      <w:lvlJc w:val="left"/>
      <w:pPr>
        <w:ind w:left="6581" w:hanging="360"/>
      </w:pPr>
      <w:rPr>
        <w:rFonts w:ascii="Wingdings" w:hAnsi="Wingdings" w:hint="default"/>
      </w:rPr>
    </w:lvl>
  </w:abstractNum>
  <w:abstractNum w:abstractNumId="3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EA4BFC"/>
    <w:multiLevelType w:val="hybridMultilevel"/>
    <w:tmpl w:val="786E9602"/>
    <w:lvl w:ilvl="0" w:tplc="04090001">
      <w:start w:val="1"/>
      <w:numFmt w:val="bullet"/>
      <w:lvlText w:val=""/>
      <w:lvlJc w:val="left"/>
      <w:pPr>
        <w:ind w:left="2628" w:hanging="360"/>
      </w:pPr>
      <w:rPr>
        <w:rFonts w:ascii="Symbol" w:hAnsi="Symbol"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41" w15:restartNumberingAfterBreak="0">
    <w:nsid w:val="61123049"/>
    <w:multiLevelType w:val="hybridMultilevel"/>
    <w:tmpl w:val="2B9EDB40"/>
    <w:lvl w:ilvl="0" w:tplc="61FCA054">
      <w:numFmt w:val="bullet"/>
      <w:lvlText w:val=""/>
      <w:lvlJc w:val="left"/>
      <w:pPr>
        <w:ind w:left="720" w:hanging="360"/>
      </w:pPr>
      <w:rPr>
        <w:rFonts w:ascii="Wingdings" w:eastAsia="Batang"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E9611D"/>
    <w:multiLevelType w:val="hybridMultilevel"/>
    <w:tmpl w:val="AE72F7C2"/>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3" w15:restartNumberingAfterBreak="0">
    <w:nsid w:val="66BA42A5"/>
    <w:multiLevelType w:val="hybridMultilevel"/>
    <w:tmpl w:val="0AA6CBC8"/>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4"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C082B11"/>
    <w:multiLevelType w:val="hybridMultilevel"/>
    <w:tmpl w:val="DF86A140"/>
    <w:lvl w:ilvl="0" w:tplc="FFFFFFFF">
      <w:start w:val="1"/>
      <w:numFmt w:val="lowerLetter"/>
      <w:lvlText w:val="%1)"/>
      <w:lvlJc w:val="left"/>
      <w:pPr>
        <w:ind w:left="1530" w:hanging="360"/>
      </w:p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47" w15:restartNumberingAfterBreak="0">
    <w:nsid w:val="72CD6FF6"/>
    <w:multiLevelType w:val="hybridMultilevel"/>
    <w:tmpl w:val="0F3A621A"/>
    <w:lvl w:ilvl="0" w:tplc="A022B7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7C24DE"/>
    <w:multiLevelType w:val="hybridMultilevel"/>
    <w:tmpl w:val="615EB998"/>
    <w:lvl w:ilvl="0" w:tplc="CEBE0F4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4F2345F"/>
    <w:multiLevelType w:val="hybridMultilevel"/>
    <w:tmpl w:val="52EEF156"/>
    <w:lvl w:ilvl="0" w:tplc="438E2F42">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7857A53"/>
    <w:multiLevelType w:val="hybridMultilevel"/>
    <w:tmpl w:val="1F706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29"/>
  </w:num>
  <w:num w:numId="2" w16cid:durableId="2096196966">
    <w:abstractNumId w:val="17"/>
  </w:num>
  <w:num w:numId="3" w16cid:durableId="802044280">
    <w:abstractNumId w:val="12"/>
  </w:num>
  <w:num w:numId="4" w16cid:durableId="1857310106">
    <w:abstractNumId w:val="36"/>
  </w:num>
  <w:num w:numId="5" w16cid:durableId="1255479474">
    <w:abstractNumId w:val="14"/>
  </w:num>
  <w:num w:numId="6" w16cid:durableId="487593010">
    <w:abstractNumId w:val="54"/>
  </w:num>
  <w:num w:numId="7" w16cid:durableId="1721663231">
    <w:abstractNumId w:val="32"/>
  </w:num>
  <w:num w:numId="8" w16cid:durableId="1406338349">
    <w:abstractNumId w:val="51"/>
  </w:num>
  <w:num w:numId="9" w16cid:durableId="1285846033">
    <w:abstractNumId w:val="46"/>
  </w:num>
  <w:num w:numId="10" w16cid:durableId="1223368361">
    <w:abstractNumId w:val="8"/>
  </w:num>
  <w:num w:numId="11" w16cid:durableId="2116486199">
    <w:abstractNumId w:val="6"/>
  </w:num>
  <w:num w:numId="12" w16cid:durableId="539712367">
    <w:abstractNumId w:val="52"/>
  </w:num>
  <w:num w:numId="13" w16cid:durableId="1754010364">
    <w:abstractNumId w:val="27"/>
  </w:num>
  <w:num w:numId="14" w16cid:durableId="324668897">
    <w:abstractNumId w:val="28"/>
  </w:num>
  <w:num w:numId="15" w16cid:durableId="2029603207">
    <w:abstractNumId w:val="49"/>
  </w:num>
  <w:num w:numId="16" w16cid:durableId="1276671829">
    <w:abstractNumId w:val="39"/>
  </w:num>
  <w:num w:numId="17" w16cid:durableId="712845071">
    <w:abstractNumId w:val="38"/>
  </w:num>
  <w:num w:numId="18" w16cid:durableId="1436904203">
    <w:abstractNumId w:val="34"/>
  </w:num>
  <w:num w:numId="19" w16cid:durableId="1360279963">
    <w:abstractNumId w:val="24"/>
  </w:num>
  <w:num w:numId="20" w16cid:durableId="41877509">
    <w:abstractNumId w:val="7"/>
  </w:num>
  <w:num w:numId="21" w16cid:durableId="462118427">
    <w:abstractNumId w:val="31"/>
  </w:num>
  <w:num w:numId="22" w16cid:durableId="220093567">
    <w:abstractNumId w:val="44"/>
  </w:num>
  <w:num w:numId="23" w16cid:durableId="845557126">
    <w:abstractNumId w:val="50"/>
  </w:num>
  <w:num w:numId="24" w16cid:durableId="576283765">
    <w:abstractNumId w:val="46"/>
  </w:num>
  <w:num w:numId="25" w16cid:durableId="965817360">
    <w:abstractNumId w:val="16"/>
  </w:num>
  <w:num w:numId="26" w16cid:durableId="1549730622">
    <w:abstractNumId w:val="9"/>
  </w:num>
  <w:num w:numId="27" w16cid:durableId="4379898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82386208">
    <w:abstractNumId w:val="33"/>
  </w:num>
  <w:num w:numId="29" w16cid:durableId="1359047925">
    <w:abstractNumId w:val="37"/>
  </w:num>
  <w:num w:numId="30" w16cid:durableId="1136263664">
    <w:abstractNumId w:val="15"/>
  </w:num>
  <w:num w:numId="31" w16cid:durableId="218327264">
    <w:abstractNumId w:val="9"/>
  </w:num>
  <w:num w:numId="32" w16cid:durableId="1458405139">
    <w:abstractNumId w:val="23"/>
  </w:num>
  <w:num w:numId="33" w16cid:durableId="590702300">
    <w:abstractNumId w:val="22"/>
  </w:num>
  <w:num w:numId="34" w16cid:durableId="1480146928">
    <w:abstractNumId w:val="5"/>
  </w:num>
  <w:num w:numId="35" w16cid:durableId="549918820">
    <w:abstractNumId w:val="40"/>
  </w:num>
  <w:num w:numId="36" w16cid:durableId="1171677238">
    <w:abstractNumId w:val="21"/>
  </w:num>
  <w:num w:numId="37" w16cid:durableId="1141117490">
    <w:abstractNumId w:val="26"/>
  </w:num>
  <w:num w:numId="38" w16cid:durableId="1084957546">
    <w:abstractNumId w:val="35"/>
  </w:num>
  <w:num w:numId="39" w16cid:durableId="820654445">
    <w:abstractNumId w:val="20"/>
  </w:num>
  <w:num w:numId="40" w16cid:durableId="502597322">
    <w:abstractNumId w:val="11"/>
  </w:num>
  <w:num w:numId="41" w16cid:durableId="64573959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9039501">
    <w:abstractNumId w:val="48"/>
  </w:num>
  <w:num w:numId="43" w16cid:durableId="872153916">
    <w:abstractNumId w:val="13"/>
  </w:num>
  <w:num w:numId="44" w16cid:durableId="1746878216">
    <w:abstractNumId w:val="45"/>
  </w:num>
  <w:num w:numId="45" w16cid:durableId="463885680">
    <w:abstractNumId w:val="30"/>
  </w:num>
  <w:num w:numId="46" w16cid:durableId="158618464">
    <w:abstractNumId w:val="43"/>
  </w:num>
  <w:num w:numId="47" w16cid:durableId="1280724794">
    <w:abstractNumId w:val="3"/>
  </w:num>
  <w:num w:numId="48" w16cid:durableId="211505912">
    <w:abstractNumId w:val="46"/>
  </w:num>
  <w:num w:numId="49" w16cid:durableId="890656756">
    <w:abstractNumId w:val="2"/>
  </w:num>
  <w:num w:numId="50" w16cid:durableId="905067299">
    <w:abstractNumId w:val="46"/>
  </w:num>
  <w:num w:numId="51" w16cid:durableId="542981474">
    <w:abstractNumId w:val="4"/>
  </w:num>
  <w:num w:numId="52" w16cid:durableId="290332690">
    <w:abstractNumId w:val="53"/>
  </w:num>
  <w:num w:numId="53" w16cid:durableId="1647082878">
    <w:abstractNumId w:val="10"/>
  </w:num>
  <w:num w:numId="54" w16cid:durableId="1028339794">
    <w:abstractNumId w:val="47"/>
  </w:num>
  <w:num w:numId="55" w16cid:durableId="357857322">
    <w:abstractNumId w:val="41"/>
  </w:num>
  <w:num w:numId="56" w16cid:durableId="922374704">
    <w:abstractNumId w:val="25"/>
  </w:num>
  <w:num w:numId="57" w16cid:durableId="564874182">
    <w:abstractNumId w:val="18"/>
  </w:num>
  <w:num w:numId="58" w16cid:durableId="517278696">
    <w:abstractNumId w:val="0"/>
  </w:num>
  <w:num w:numId="59" w16cid:durableId="1018579918">
    <w:abstractNumId w:val="4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99A"/>
    <w:rsid w:val="00002A37"/>
    <w:rsid w:val="00002FD2"/>
    <w:rsid w:val="00003590"/>
    <w:rsid w:val="00003A31"/>
    <w:rsid w:val="00003AC5"/>
    <w:rsid w:val="00003C71"/>
    <w:rsid w:val="00004034"/>
    <w:rsid w:val="00004057"/>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845"/>
    <w:rsid w:val="00012B04"/>
    <w:rsid w:val="00012BF5"/>
    <w:rsid w:val="00013384"/>
    <w:rsid w:val="000142E0"/>
    <w:rsid w:val="0001459C"/>
    <w:rsid w:val="00014A34"/>
    <w:rsid w:val="00014A91"/>
    <w:rsid w:val="0001536F"/>
    <w:rsid w:val="00015D15"/>
    <w:rsid w:val="0001623E"/>
    <w:rsid w:val="00016368"/>
    <w:rsid w:val="0001662B"/>
    <w:rsid w:val="00016EA9"/>
    <w:rsid w:val="00016F69"/>
    <w:rsid w:val="000173E6"/>
    <w:rsid w:val="0001749A"/>
    <w:rsid w:val="00017946"/>
    <w:rsid w:val="00017BBA"/>
    <w:rsid w:val="00017C3E"/>
    <w:rsid w:val="0002020B"/>
    <w:rsid w:val="0002047D"/>
    <w:rsid w:val="000208F9"/>
    <w:rsid w:val="00020A10"/>
    <w:rsid w:val="00020E51"/>
    <w:rsid w:val="000210C5"/>
    <w:rsid w:val="000218E8"/>
    <w:rsid w:val="00021A8E"/>
    <w:rsid w:val="00021C6E"/>
    <w:rsid w:val="00021D0C"/>
    <w:rsid w:val="00021D2D"/>
    <w:rsid w:val="00021EFD"/>
    <w:rsid w:val="000229E1"/>
    <w:rsid w:val="00022AD1"/>
    <w:rsid w:val="00022C69"/>
    <w:rsid w:val="00022E89"/>
    <w:rsid w:val="00023122"/>
    <w:rsid w:val="00023542"/>
    <w:rsid w:val="0002377C"/>
    <w:rsid w:val="00024A80"/>
    <w:rsid w:val="00024A88"/>
    <w:rsid w:val="00024D28"/>
    <w:rsid w:val="00025137"/>
    <w:rsid w:val="0002564D"/>
    <w:rsid w:val="0002592B"/>
    <w:rsid w:val="00025ECA"/>
    <w:rsid w:val="00026874"/>
    <w:rsid w:val="00026E7E"/>
    <w:rsid w:val="00026F6C"/>
    <w:rsid w:val="00027537"/>
    <w:rsid w:val="00027938"/>
    <w:rsid w:val="00027BFA"/>
    <w:rsid w:val="00027C86"/>
    <w:rsid w:val="00027C93"/>
    <w:rsid w:val="00030579"/>
    <w:rsid w:val="00031259"/>
    <w:rsid w:val="00031F54"/>
    <w:rsid w:val="0003222D"/>
    <w:rsid w:val="000322B1"/>
    <w:rsid w:val="000325B8"/>
    <w:rsid w:val="0003298F"/>
    <w:rsid w:val="00032BAB"/>
    <w:rsid w:val="00033215"/>
    <w:rsid w:val="000333FC"/>
    <w:rsid w:val="00033854"/>
    <w:rsid w:val="00033A49"/>
    <w:rsid w:val="00033BC5"/>
    <w:rsid w:val="00033F0D"/>
    <w:rsid w:val="000343FA"/>
    <w:rsid w:val="0003463B"/>
    <w:rsid w:val="00034B81"/>
    <w:rsid w:val="00034C15"/>
    <w:rsid w:val="00034CF7"/>
    <w:rsid w:val="00034EC9"/>
    <w:rsid w:val="0003506D"/>
    <w:rsid w:val="0003541B"/>
    <w:rsid w:val="000354B1"/>
    <w:rsid w:val="000359DB"/>
    <w:rsid w:val="00036897"/>
    <w:rsid w:val="00036BA1"/>
    <w:rsid w:val="000373DF"/>
    <w:rsid w:val="00037481"/>
    <w:rsid w:val="00037846"/>
    <w:rsid w:val="00037BB9"/>
    <w:rsid w:val="00037C47"/>
    <w:rsid w:val="00037DB1"/>
    <w:rsid w:val="00040016"/>
    <w:rsid w:val="00040415"/>
    <w:rsid w:val="000404CC"/>
    <w:rsid w:val="0004104B"/>
    <w:rsid w:val="000415F7"/>
    <w:rsid w:val="00041B80"/>
    <w:rsid w:val="00041B9A"/>
    <w:rsid w:val="00041CC3"/>
    <w:rsid w:val="00041F08"/>
    <w:rsid w:val="000422E2"/>
    <w:rsid w:val="000425FC"/>
    <w:rsid w:val="00042C95"/>
    <w:rsid w:val="00042F22"/>
    <w:rsid w:val="000431D6"/>
    <w:rsid w:val="00043D3C"/>
    <w:rsid w:val="000444EF"/>
    <w:rsid w:val="0004496E"/>
    <w:rsid w:val="00044A1C"/>
    <w:rsid w:val="00044F6E"/>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33A2"/>
    <w:rsid w:val="000534E3"/>
    <w:rsid w:val="0005368F"/>
    <w:rsid w:val="00054168"/>
    <w:rsid w:val="0005438F"/>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7D9"/>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9A5"/>
    <w:rsid w:val="00065A8D"/>
    <w:rsid w:val="00065E1A"/>
    <w:rsid w:val="00066086"/>
    <w:rsid w:val="000665E4"/>
    <w:rsid w:val="00066A25"/>
    <w:rsid w:val="0006723B"/>
    <w:rsid w:val="00067984"/>
    <w:rsid w:val="00070164"/>
    <w:rsid w:val="000703DF"/>
    <w:rsid w:val="000704E4"/>
    <w:rsid w:val="00070E19"/>
    <w:rsid w:val="00070FB9"/>
    <w:rsid w:val="00071024"/>
    <w:rsid w:val="0007124F"/>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593E"/>
    <w:rsid w:val="00075C29"/>
    <w:rsid w:val="000761B4"/>
    <w:rsid w:val="000761DC"/>
    <w:rsid w:val="000764EE"/>
    <w:rsid w:val="00076A87"/>
    <w:rsid w:val="00076E4C"/>
    <w:rsid w:val="000770C4"/>
    <w:rsid w:val="00077352"/>
    <w:rsid w:val="00077BDD"/>
    <w:rsid w:val="00077DDE"/>
    <w:rsid w:val="00077E5F"/>
    <w:rsid w:val="000801C7"/>
    <w:rsid w:val="0008036A"/>
    <w:rsid w:val="00080A03"/>
    <w:rsid w:val="0008182C"/>
    <w:rsid w:val="00081A01"/>
    <w:rsid w:val="00081AE6"/>
    <w:rsid w:val="00081E02"/>
    <w:rsid w:val="00082620"/>
    <w:rsid w:val="0008276A"/>
    <w:rsid w:val="0008297D"/>
    <w:rsid w:val="00082EA4"/>
    <w:rsid w:val="00083EDA"/>
    <w:rsid w:val="00083EDB"/>
    <w:rsid w:val="000841AB"/>
    <w:rsid w:val="00084445"/>
    <w:rsid w:val="00084E69"/>
    <w:rsid w:val="00085124"/>
    <w:rsid w:val="000854AD"/>
    <w:rsid w:val="000855EB"/>
    <w:rsid w:val="0008564E"/>
    <w:rsid w:val="000857B0"/>
    <w:rsid w:val="00085B52"/>
    <w:rsid w:val="00085CB0"/>
    <w:rsid w:val="00085F9C"/>
    <w:rsid w:val="0008604C"/>
    <w:rsid w:val="00086124"/>
    <w:rsid w:val="000861B9"/>
    <w:rsid w:val="00086380"/>
    <w:rsid w:val="000866F2"/>
    <w:rsid w:val="000876BF"/>
    <w:rsid w:val="00087C8C"/>
    <w:rsid w:val="0009009F"/>
    <w:rsid w:val="00090547"/>
    <w:rsid w:val="00090599"/>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2F8"/>
    <w:rsid w:val="000964A4"/>
    <w:rsid w:val="00097163"/>
    <w:rsid w:val="000973BF"/>
    <w:rsid w:val="0009774C"/>
    <w:rsid w:val="0009787E"/>
    <w:rsid w:val="000978E7"/>
    <w:rsid w:val="00097F9F"/>
    <w:rsid w:val="000A00BC"/>
    <w:rsid w:val="000A0469"/>
    <w:rsid w:val="000A07C3"/>
    <w:rsid w:val="000A0870"/>
    <w:rsid w:val="000A0ED3"/>
    <w:rsid w:val="000A1465"/>
    <w:rsid w:val="000A1B7B"/>
    <w:rsid w:val="000A1BE3"/>
    <w:rsid w:val="000A1C54"/>
    <w:rsid w:val="000A1CE1"/>
    <w:rsid w:val="000A1E11"/>
    <w:rsid w:val="000A219B"/>
    <w:rsid w:val="000A2B37"/>
    <w:rsid w:val="000A2CD0"/>
    <w:rsid w:val="000A3DE2"/>
    <w:rsid w:val="000A48BC"/>
    <w:rsid w:val="000A4AE4"/>
    <w:rsid w:val="000A4D28"/>
    <w:rsid w:val="000A56F2"/>
    <w:rsid w:val="000A58A8"/>
    <w:rsid w:val="000A5FA0"/>
    <w:rsid w:val="000A5FBD"/>
    <w:rsid w:val="000A635B"/>
    <w:rsid w:val="000A6878"/>
    <w:rsid w:val="000A71AE"/>
    <w:rsid w:val="000A71FA"/>
    <w:rsid w:val="000A727E"/>
    <w:rsid w:val="000A7C33"/>
    <w:rsid w:val="000A7CA6"/>
    <w:rsid w:val="000A7D00"/>
    <w:rsid w:val="000B06F1"/>
    <w:rsid w:val="000B0B84"/>
    <w:rsid w:val="000B1103"/>
    <w:rsid w:val="000B1B86"/>
    <w:rsid w:val="000B21B0"/>
    <w:rsid w:val="000B2719"/>
    <w:rsid w:val="000B29D9"/>
    <w:rsid w:val="000B3A8F"/>
    <w:rsid w:val="000B43A5"/>
    <w:rsid w:val="000B4AB9"/>
    <w:rsid w:val="000B4DAA"/>
    <w:rsid w:val="000B56FE"/>
    <w:rsid w:val="000B58C3"/>
    <w:rsid w:val="000B592A"/>
    <w:rsid w:val="000B5991"/>
    <w:rsid w:val="000B5BEA"/>
    <w:rsid w:val="000B5FA0"/>
    <w:rsid w:val="000B5FFD"/>
    <w:rsid w:val="000B61E9"/>
    <w:rsid w:val="000B6600"/>
    <w:rsid w:val="000B6894"/>
    <w:rsid w:val="000B6A4B"/>
    <w:rsid w:val="000B6AB1"/>
    <w:rsid w:val="000B6C92"/>
    <w:rsid w:val="000B6CB4"/>
    <w:rsid w:val="000B6F9D"/>
    <w:rsid w:val="000B72DD"/>
    <w:rsid w:val="000B7AC0"/>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2EC5"/>
    <w:rsid w:val="000D3105"/>
    <w:rsid w:val="000D31CB"/>
    <w:rsid w:val="000D3252"/>
    <w:rsid w:val="000D3654"/>
    <w:rsid w:val="000D3CA9"/>
    <w:rsid w:val="000D3FDF"/>
    <w:rsid w:val="000D46E6"/>
    <w:rsid w:val="000D4797"/>
    <w:rsid w:val="000D4834"/>
    <w:rsid w:val="000D5023"/>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03C"/>
    <w:rsid w:val="000F1106"/>
    <w:rsid w:val="000F1356"/>
    <w:rsid w:val="000F1DE1"/>
    <w:rsid w:val="000F29AB"/>
    <w:rsid w:val="000F2CF4"/>
    <w:rsid w:val="000F2DAA"/>
    <w:rsid w:val="000F3303"/>
    <w:rsid w:val="000F36BA"/>
    <w:rsid w:val="000F3B24"/>
    <w:rsid w:val="000F3BE9"/>
    <w:rsid w:val="000F3D24"/>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E8A"/>
    <w:rsid w:val="00103AF1"/>
    <w:rsid w:val="00103C1D"/>
    <w:rsid w:val="00103E4F"/>
    <w:rsid w:val="00104854"/>
    <w:rsid w:val="001049C3"/>
    <w:rsid w:val="00105347"/>
    <w:rsid w:val="00105C9E"/>
    <w:rsid w:val="001062FB"/>
    <w:rsid w:val="00106309"/>
    <w:rsid w:val="0010632E"/>
    <w:rsid w:val="001063E6"/>
    <w:rsid w:val="00106B4C"/>
    <w:rsid w:val="00106C2E"/>
    <w:rsid w:val="00106C7A"/>
    <w:rsid w:val="001070A5"/>
    <w:rsid w:val="001071FD"/>
    <w:rsid w:val="001073B4"/>
    <w:rsid w:val="001104FC"/>
    <w:rsid w:val="00110E09"/>
    <w:rsid w:val="0011163C"/>
    <w:rsid w:val="00111C50"/>
    <w:rsid w:val="00112100"/>
    <w:rsid w:val="001122D0"/>
    <w:rsid w:val="001124C2"/>
    <w:rsid w:val="00113CF4"/>
    <w:rsid w:val="00113F68"/>
    <w:rsid w:val="00113FCC"/>
    <w:rsid w:val="00114742"/>
    <w:rsid w:val="00114975"/>
    <w:rsid w:val="00114B4F"/>
    <w:rsid w:val="00114C35"/>
    <w:rsid w:val="00114E3A"/>
    <w:rsid w:val="00114F97"/>
    <w:rsid w:val="001151C8"/>
    <w:rsid w:val="001153EA"/>
    <w:rsid w:val="00115643"/>
    <w:rsid w:val="00115889"/>
    <w:rsid w:val="00115A2A"/>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2CC"/>
    <w:rsid w:val="00126516"/>
    <w:rsid w:val="00126B4A"/>
    <w:rsid w:val="00130175"/>
    <w:rsid w:val="0013081F"/>
    <w:rsid w:val="001309D0"/>
    <w:rsid w:val="00130F67"/>
    <w:rsid w:val="00131185"/>
    <w:rsid w:val="001315D1"/>
    <w:rsid w:val="00131659"/>
    <w:rsid w:val="00131DBD"/>
    <w:rsid w:val="00131EC6"/>
    <w:rsid w:val="00132166"/>
    <w:rsid w:val="0013248F"/>
    <w:rsid w:val="001327D0"/>
    <w:rsid w:val="001329C4"/>
    <w:rsid w:val="00132B1C"/>
    <w:rsid w:val="00132D7A"/>
    <w:rsid w:val="00132FD0"/>
    <w:rsid w:val="00133841"/>
    <w:rsid w:val="00133B31"/>
    <w:rsid w:val="00133EFC"/>
    <w:rsid w:val="00134108"/>
    <w:rsid w:val="0013428E"/>
    <w:rsid w:val="001344C0"/>
    <w:rsid w:val="001346FA"/>
    <w:rsid w:val="00134954"/>
    <w:rsid w:val="00134A5F"/>
    <w:rsid w:val="0013505C"/>
    <w:rsid w:val="00135092"/>
    <w:rsid w:val="00135155"/>
    <w:rsid w:val="00135252"/>
    <w:rsid w:val="00135358"/>
    <w:rsid w:val="00135C17"/>
    <w:rsid w:val="00135EAC"/>
    <w:rsid w:val="00136143"/>
    <w:rsid w:val="00136B48"/>
    <w:rsid w:val="00136E2B"/>
    <w:rsid w:val="001370A0"/>
    <w:rsid w:val="00137AB5"/>
    <w:rsid w:val="00137BF7"/>
    <w:rsid w:val="00137D3B"/>
    <w:rsid w:val="00137F0B"/>
    <w:rsid w:val="00140020"/>
    <w:rsid w:val="00140167"/>
    <w:rsid w:val="00140216"/>
    <w:rsid w:val="001406C5"/>
    <w:rsid w:val="001406F4"/>
    <w:rsid w:val="001407E9"/>
    <w:rsid w:val="001416C5"/>
    <w:rsid w:val="0014181B"/>
    <w:rsid w:val="00141E16"/>
    <w:rsid w:val="001427AF"/>
    <w:rsid w:val="00142CA4"/>
    <w:rsid w:val="00143C03"/>
    <w:rsid w:val="00143ECF"/>
    <w:rsid w:val="00143FC0"/>
    <w:rsid w:val="001440CC"/>
    <w:rsid w:val="00144802"/>
    <w:rsid w:val="00144BEB"/>
    <w:rsid w:val="00144C28"/>
    <w:rsid w:val="00144EBA"/>
    <w:rsid w:val="00144F73"/>
    <w:rsid w:val="00145644"/>
    <w:rsid w:val="00145999"/>
    <w:rsid w:val="00145AF7"/>
    <w:rsid w:val="00145FFA"/>
    <w:rsid w:val="00146363"/>
    <w:rsid w:val="0014682C"/>
    <w:rsid w:val="00146FA9"/>
    <w:rsid w:val="001470F5"/>
    <w:rsid w:val="00147108"/>
    <w:rsid w:val="00147271"/>
    <w:rsid w:val="0014742F"/>
    <w:rsid w:val="00147748"/>
    <w:rsid w:val="00147CBD"/>
    <w:rsid w:val="00147EB7"/>
    <w:rsid w:val="0015013F"/>
    <w:rsid w:val="00150AA5"/>
    <w:rsid w:val="00151739"/>
    <w:rsid w:val="00151E23"/>
    <w:rsid w:val="001526E0"/>
    <w:rsid w:val="00152760"/>
    <w:rsid w:val="00152EBC"/>
    <w:rsid w:val="00152FED"/>
    <w:rsid w:val="00153026"/>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A83"/>
    <w:rsid w:val="00157CC6"/>
    <w:rsid w:val="00157F06"/>
    <w:rsid w:val="0016047A"/>
    <w:rsid w:val="001607FD"/>
    <w:rsid w:val="00160830"/>
    <w:rsid w:val="00160B19"/>
    <w:rsid w:val="00160D11"/>
    <w:rsid w:val="00161BEF"/>
    <w:rsid w:val="00162440"/>
    <w:rsid w:val="00162BC1"/>
    <w:rsid w:val="0016329E"/>
    <w:rsid w:val="00164265"/>
    <w:rsid w:val="00164689"/>
    <w:rsid w:val="00164739"/>
    <w:rsid w:val="00164A91"/>
    <w:rsid w:val="00165813"/>
    <w:rsid w:val="001659C1"/>
    <w:rsid w:val="0016648D"/>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74A"/>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892"/>
    <w:rsid w:val="00175A0B"/>
    <w:rsid w:val="00175B4B"/>
    <w:rsid w:val="00175B71"/>
    <w:rsid w:val="00175C53"/>
    <w:rsid w:val="00175CD8"/>
    <w:rsid w:val="00175DE8"/>
    <w:rsid w:val="00176701"/>
    <w:rsid w:val="00176712"/>
    <w:rsid w:val="00176D72"/>
    <w:rsid w:val="00176FF0"/>
    <w:rsid w:val="00177107"/>
    <w:rsid w:val="00177219"/>
    <w:rsid w:val="001774EE"/>
    <w:rsid w:val="00177A3C"/>
    <w:rsid w:val="00177B5D"/>
    <w:rsid w:val="001804FC"/>
    <w:rsid w:val="001805E5"/>
    <w:rsid w:val="00180690"/>
    <w:rsid w:val="00180797"/>
    <w:rsid w:val="00180A46"/>
    <w:rsid w:val="00180C2C"/>
    <w:rsid w:val="00181298"/>
    <w:rsid w:val="0018143F"/>
    <w:rsid w:val="00181501"/>
    <w:rsid w:val="00181585"/>
    <w:rsid w:val="00181A00"/>
    <w:rsid w:val="00181BEB"/>
    <w:rsid w:val="00181D4C"/>
    <w:rsid w:val="00181DF8"/>
    <w:rsid w:val="00182705"/>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43E"/>
    <w:rsid w:val="001876C8"/>
    <w:rsid w:val="00187875"/>
    <w:rsid w:val="00187CC2"/>
    <w:rsid w:val="00190742"/>
    <w:rsid w:val="00190AC1"/>
    <w:rsid w:val="00191199"/>
    <w:rsid w:val="00191404"/>
    <w:rsid w:val="00191AA6"/>
    <w:rsid w:val="00191FDD"/>
    <w:rsid w:val="001920B6"/>
    <w:rsid w:val="0019222A"/>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0E6"/>
    <w:rsid w:val="001B0335"/>
    <w:rsid w:val="001B0B12"/>
    <w:rsid w:val="001B0B49"/>
    <w:rsid w:val="001B0B68"/>
    <w:rsid w:val="001B0D44"/>
    <w:rsid w:val="001B0D97"/>
    <w:rsid w:val="001B1052"/>
    <w:rsid w:val="001B138A"/>
    <w:rsid w:val="001B1698"/>
    <w:rsid w:val="001B21A1"/>
    <w:rsid w:val="001B2A5A"/>
    <w:rsid w:val="001B2F65"/>
    <w:rsid w:val="001B310B"/>
    <w:rsid w:val="001B3427"/>
    <w:rsid w:val="001B3AA8"/>
    <w:rsid w:val="001B3C17"/>
    <w:rsid w:val="001B4288"/>
    <w:rsid w:val="001B4978"/>
    <w:rsid w:val="001B49BA"/>
    <w:rsid w:val="001B4B9F"/>
    <w:rsid w:val="001B53DB"/>
    <w:rsid w:val="001B5A5D"/>
    <w:rsid w:val="001B5C34"/>
    <w:rsid w:val="001B60C2"/>
    <w:rsid w:val="001B646E"/>
    <w:rsid w:val="001B6785"/>
    <w:rsid w:val="001B688E"/>
    <w:rsid w:val="001B6D83"/>
    <w:rsid w:val="001B6DC4"/>
    <w:rsid w:val="001B76E1"/>
    <w:rsid w:val="001B7D2F"/>
    <w:rsid w:val="001B7E77"/>
    <w:rsid w:val="001B7F5F"/>
    <w:rsid w:val="001C0398"/>
    <w:rsid w:val="001C147A"/>
    <w:rsid w:val="001C1932"/>
    <w:rsid w:val="001C1947"/>
    <w:rsid w:val="001C1CE5"/>
    <w:rsid w:val="001C1F23"/>
    <w:rsid w:val="001C214C"/>
    <w:rsid w:val="001C23D4"/>
    <w:rsid w:val="001C2981"/>
    <w:rsid w:val="001C29B5"/>
    <w:rsid w:val="001C2C26"/>
    <w:rsid w:val="001C2CC5"/>
    <w:rsid w:val="001C2F6C"/>
    <w:rsid w:val="001C3803"/>
    <w:rsid w:val="001C3B79"/>
    <w:rsid w:val="001C3CFE"/>
    <w:rsid w:val="001C3D2A"/>
    <w:rsid w:val="001C427F"/>
    <w:rsid w:val="001C47CA"/>
    <w:rsid w:val="001C480A"/>
    <w:rsid w:val="001C4C52"/>
    <w:rsid w:val="001C5250"/>
    <w:rsid w:val="001C540E"/>
    <w:rsid w:val="001C54D6"/>
    <w:rsid w:val="001C5B50"/>
    <w:rsid w:val="001C5D9C"/>
    <w:rsid w:val="001C6372"/>
    <w:rsid w:val="001C6460"/>
    <w:rsid w:val="001C653C"/>
    <w:rsid w:val="001C6CCD"/>
    <w:rsid w:val="001C6D19"/>
    <w:rsid w:val="001C74E5"/>
    <w:rsid w:val="001C7702"/>
    <w:rsid w:val="001C7B29"/>
    <w:rsid w:val="001D00C1"/>
    <w:rsid w:val="001D0537"/>
    <w:rsid w:val="001D08A6"/>
    <w:rsid w:val="001D0A6F"/>
    <w:rsid w:val="001D0A73"/>
    <w:rsid w:val="001D0B60"/>
    <w:rsid w:val="001D15EC"/>
    <w:rsid w:val="001D17BC"/>
    <w:rsid w:val="001D20A5"/>
    <w:rsid w:val="001D2995"/>
    <w:rsid w:val="001D2A63"/>
    <w:rsid w:val="001D2AF7"/>
    <w:rsid w:val="001D2BBB"/>
    <w:rsid w:val="001D3146"/>
    <w:rsid w:val="001D3452"/>
    <w:rsid w:val="001D37CE"/>
    <w:rsid w:val="001D3C38"/>
    <w:rsid w:val="001D460C"/>
    <w:rsid w:val="001D4C95"/>
    <w:rsid w:val="001D4E12"/>
    <w:rsid w:val="001D51BA"/>
    <w:rsid w:val="001D51F5"/>
    <w:rsid w:val="001D544A"/>
    <w:rsid w:val="001D575E"/>
    <w:rsid w:val="001D5992"/>
    <w:rsid w:val="001D6123"/>
    <w:rsid w:val="001D6342"/>
    <w:rsid w:val="001D6BDD"/>
    <w:rsid w:val="001D6D0F"/>
    <w:rsid w:val="001D6D53"/>
    <w:rsid w:val="001D7170"/>
    <w:rsid w:val="001D77B4"/>
    <w:rsid w:val="001D7874"/>
    <w:rsid w:val="001D7B36"/>
    <w:rsid w:val="001D7D56"/>
    <w:rsid w:val="001E0CD8"/>
    <w:rsid w:val="001E10C0"/>
    <w:rsid w:val="001E11A5"/>
    <w:rsid w:val="001E1381"/>
    <w:rsid w:val="001E1795"/>
    <w:rsid w:val="001E19D4"/>
    <w:rsid w:val="001E241F"/>
    <w:rsid w:val="001E262D"/>
    <w:rsid w:val="001E2921"/>
    <w:rsid w:val="001E3875"/>
    <w:rsid w:val="001E4091"/>
    <w:rsid w:val="001E43B7"/>
    <w:rsid w:val="001E4AEC"/>
    <w:rsid w:val="001E4B89"/>
    <w:rsid w:val="001E5416"/>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C2"/>
    <w:rsid w:val="001F445B"/>
    <w:rsid w:val="001F464D"/>
    <w:rsid w:val="001F4A82"/>
    <w:rsid w:val="001F4C9A"/>
    <w:rsid w:val="001F53C6"/>
    <w:rsid w:val="001F54C5"/>
    <w:rsid w:val="001F5B78"/>
    <w:rsid w:val="001F5C7B"/>
    <w:rsid w:val="001F5D3D"/>
    <w:rsid w:val="001F5F84"/>
    <w:rsid w:val="001F60F7"/>
    <w:rsid w:val="001F662C"/>
    <w:rsid w:val="001F7074"/>
    <w:rsid w:val="001F709D"/>
    <w:rsid w:val="001F74F4"/>
    <w:rsid w:val="001F76E8"/>
    <w:rsid w:val="001F79C9"/>
    <w:rsid w:val="002003E5"/>
    <w:rsid w:val="00200490"/>
    <w:rsid w:val="0020053D"/>
    <w:rsid w:val="00200A3B"/>
    <w:rsid w:val="00200F4D"/>
    <w:rsid w:val="002012E4"/>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D6E"/>
    <w:rsid w:val="00206F97"/>
    <w:rsid w:val="00207C66"/>
    <w:rsid w:val="00207FA2"/>
    <w:rsid w:val="00207FA3"/>
    <w:rsid w:val="00210110"/>
    <w:rsid w:val="00210A11"/>
    <w:rsid w:val="00210A54"/>
    <w:rsid w:val="00210D16"/>
    <w:rsid w:val="00210D4B"/>
    <w:rsid w:val="00211070"/>
    <w:rsid w:val="002110B2"/>
    <w:rsid w:val="00212239"/>
    <w:rsid w:val="00212322"/>
    <w:rsid w:val="002129BA"/>
    <w:rsid w:val="002129C7"/>
    <w:rsid w:val="00213964"/>
    <w:rsid w:val="00214735"/>
    <w:rsid w:val="00214DA8"/>
    <w:rsid w:val="00215145"/>
    <w:rsid w:val="00215423"/>
    <w:rsid w:val="002158FA"/>
    <w:rsid w:val="00215FFA"/>
    <w:rsid w:val="0021602C"/>
    <w:rsid w:val="0021610C"/>
    <w:rsid w:val="0021652C"/>
    <w:rsid w:val="00216562"/>
    <w:rsid w:val="00216C7B"/>
    <w:rsid w:val="00216E9C"/>
    <w:rsid w:val="002170ED"/>
    <w:rsid w:val="0021757B"/>
    <w:rsid w:val="00217655"/>
    <w:rsid w:val="00217B94"/>
    <w:rsid w:val="002202C2"/>
    <w:rsid w:val="00220600"/>
    <w:rsid w:val="0022081A"/>
    <w:rsid w:val="00220DBE"/>
    <w:rsid w:val="00220F0D"/>
    <w:rsid w:val="00221702"/>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ABC"/>
    <w:rsid w:val="00225C54"/>
    <w:rsid w:val="00225E39"/>
    <w:rsid w:val="00225FFF"/>
    <w:rsid w:val="00226B7E"/>
    <w:rsid w:val="00226D9D"/>
    <w:rsid w:val="00226DF0"/>
    <w:rsid w:val="00227334"/>
    <w:rsid w:val="002273AD"/>
    <w:rsid w:val="0022752E"/>
    <w:rsid w:val="002303C1"/>
    <w:rsid w:val="00230765"/>
    <w:rsid w:val="00230876"/>
    <w:rsid w:val="00230CCE"/>
    <w:rsid w:val="00231169"/>
    <w:rsid w:val="0023132B"/>
    <w:rsid w:val="002319E4"/>
    <w:rsid w:val="00231A2F"/>
    <w:rsid w:val="002323A3"/>
    <w:rsid w:val="0023274F"/>
    <w:rsid w:val="00233795"/>
    <w:rsid w:val="0023392F"/>
    <w:rsid w:val="002348C6"/>
    <w:rsid w:val="00234B17"/>
    <w:rsid w:val="00234EA0"/>
    <w:rsid w:val="002354A6"/>
    <w:rsid w:val="00235630"/>
    <w:rsid w:val="00235632"/>
    <w:rsid w:val="0023563F"/>
    <w:rsid w:val="00235872"/>
    <w:rsid w:val="00236E07"/>
    <w:rsid w:val="00236E0C"/>
    <w:rsid w:val="00237019"/>
    <w:rsid w:val="00237253"/>
    <w:rsid w:val="00237F93"/>
    <w:rsid w:val="0024009B"/>
    <w:rsid w:val="002407A9"/>
    <w:rsid w:val="00240E7C"/>
    <w:rsid w:val="0024122A"/>
    <w:rsid w:val="00241559"/>
    <w:rsid w:val="00241873"/>
    <w:rsid w:val="00241C7D"/>
    <w:rsid w:val="00241D32"/>
    <w:rsid w:val="00242574"/>
    <w:rsid w:val="00242739"/>
    <w:rsid w:val="00242751"/>
    <w:rsid w:val="002429FB"/>
    <w:rsid w:val="00242D62"/>
    <w:rsid w:val="00243245"/>
    <w:rsid w:val="0024324B"/>
    <w:rsid w:val="002432A8"/>
    <w:rsid w:val="002435B3"/>
    <w:rsid w:val="00243BB0"/>
    <w:rsid w:val="00244542"/>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8AF"/>
    <w:rsid w:val="00251BF4"/>
    <w:rsid w:val="00251D9E"/>
    <w:rsid w:val="00252791"/>
    <w:rsid w:val="00252B6B"/>
    <w:rsid w:val="00252D7A"/>
    <w:rsid w:val="0025364E"/>
    <w:rsid w:val="002537A8"/>
    <w:rsid w:val="0025406A"/>
    <w:rsid w:val="0025492D"/>
    <w:rsid w:val="00254C51"/>
    <w:rsid w:val="00254EC8"/>
    <w:rsid w:val="002553C9"/>
    <w:rsid w:val="0025571B"/>
    <w:rsid w:val="0025575D"/>
    <w:rsid w:val="002557AD"/>
    <w:rsid w:val="00255920"/>
    <w:rsid w:val="00255A8D"/>
    <w:rsid w:val="00255B46"/>
    <w:rsid w:val="00255CAB"/>
    <w:rsid w:val="00256390"/>
    <w:rsid w:val="0025648E"/>
    <w:rsid w:val="002565D2"/>
    <w:rsid w:val="00256AFC"/>
    <w:rsid w:val="00257247"/>
    <w:rsid w:val="00257543"/>
    <w:rsid w:val="002577DB"/>
    <w:rsid w:val="00257E05"/>
    <w:rsid w:val="00260376"/>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9D1"/>
    <w:rsid w:val="00264DE1"/>
    <w:rsid w:val="00264FDA"/>
    <w:rsid w:val="002650DB"/>
    <w:rsid w:val="00265565"/>
    <w:rsid w:val="00265A27"/>
    <w:rsid w:val="00265CB2"/>
    <w:rsid w:val="00265CFF"/>
    <w:rsid w:val="002661A2"/>
    <w:rsid w:val="00266214"/>
    <w:rsid w:val="0026628C"/>
    <w:rsid w:val="00266B66"/>
    <w:rsid w:val="00266C73"/>
    <w:rsid w:val="00266ED1"/>
    <w:rsid w:val="0026764A"/>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30F"/>
    <w:rsid w:val="00274418"/>
    <w:rsid w:val="002745F8"/>
    <w:rsid w:val="00274ADD"/>
    <w:rsid w:val="00274E81"/>
    <w:rsid w:val="0027535F"/>
    <w:rsid w:val="002753DB"/>
    <w:rsid w:val="0027541C"/>
    <w:rsid w:val="00275521"/>
    <w:rsid w:val="002755FF"/>
    <w:rsid w:val="00275D06"/>
    <w:rsid w:val="00275D3A"/>
    <w:rsid w:val="00276925"/>
    <w:rsid w:val="002769CC"/>
    <w:rsid w:val="00276C77"/>
    <w:rsid w:val="00277093"/>
    <w:rsid w:val="00277266"/>
    <w:rsid w:val="00277894"/>
    <w:rsid w:val="00277D17"/>
    <w:rsid w:val="002805F5"/>
    <w:rsid w:val="00280751"/>
    <w:rsid w:val="00280B51"/>
    <w:rsid w:val="00280C69"/>
    <w:rsid w:val="0028139E"/>
    <w:rsid w:val="00281499"/>
    <w:rsid w:val="00281507"/>
    <w:rsid w:val="002815A6"/>
    <w:rsid w:val="00281B14"/>
    <w:rsid w:val="00281CE1"/>
    <w:rsid w:val="00281D53"/>
    <w:rsid w:val="00282034"/>
    <w:rsid w:val="002827F7"/>
    <w:rsid w:val="0028280A"/>
    <w:rsid w:val="00282A9F"/>
    <w:rsid w:val="00283362"/>
    <w:rsid w:val="00283C7B"/>
    <w:rsid w:val="00283CE0"/>
    <w:rsid w:val="002847A2"/>
    <w:rsid w:val="002856F8"/>
    <w:rsid w:val="002861C5"/>
    <w:rsid w:val="0028651C"/>
    <w:rsid w:val="0028664F"/>
    <w:rsid w:val="00286AB1"/>
    <w:rsid w:val="00286ACD"/>
    <w:rsid w:val="00286C31"/>
    <w:rsid w:val="00286F84"/>
    <w:rsid w:val="002873FD"/>
    <w:rsid w:val="00287838"/>
    <w:rsid w:val="00290646"/>
    <w:rsid w:val="002907B5"/>
    <w:rsid w:val="002908FD"/>
    <w:rsid w:val="00291B67"/>
    <w:rsid w:val="00291CB7"/>
    <w:rsid w:val="00291DEB"/>
    <w:rsid w:val="00292C22"/>
    <w:rsid w:val="00292C3F"/>
    <w:rsid w:val="00292EB7"/>
    <w:rsid w:val="002933A6"/>
    <w:rsid w:val="0029582D"/>
    <w:rsid w:val="002961C7"/>
    <w:rsid w:val="00296227"/>
    <w:rsid w:val="00296246"/>
    <w:rsid w:val="0029649F"/>
    <w:rsid w:val="00296F44"/>
    <w:rsid w:val="00296FD6"/>
    <w:rsid w:val="002973AC"/>
    <w:rsid w:val="0029777D"/>
    <w:rsid w:val="00297EBA"/>
    <w:rsid w:val="002A055E"/>
    <w:rsid w:val="002A0576"/>
    <w:rsid w:val="002A0C58"/>
    <w:rsid w:val="002A0D5F"/>
    <w:rsid w:val="002A13DA"/>
    <w:rsid w:val="002A149D"/>
    <w:rsid w:val="002A169E"/>
    <w:rsid w:val="002A16D3"/>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76"/>
    <w:rsid w:val="002B028C"/>
    <w:rsid w:val="002B0855"/>
    <w:rsid w:val="002B0AF6"/>
    <w:rsid w:val="002B12C2"/>
    <w:rsid w:val="002B199B"/>
    <w:rsid w:val="002B1D35"/>
    <w:rsid w:val="002B24D6"/>
    <w:rsid w:val="002B2E63"/>
    <w:rsid w:val="002B2F4E"/>
    <w:rsid w:val="002B3622"/>
    <w:rsid w:val="002B381B"/>
    <w:rsid w:val="002B3941"/>
    <w:rsid w:val="002B3AEE"/>
    <w:rsid w:val="002B43D4"/>
    <w:rsid w:val="002B474E"/>
    <w:rsid w:val="002B49D2"/>
    <w:rsid w:val="002B5FCC"/>
    <w:rsid w:val="002B6292"/>
    <w:rsid w:val="002B7275"/>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3C3"/>
    <w:rsid w:val="002C244F"/>
    <w:rsid w:val="002C257A"/>
    <w:rsid w:val="002C2680"/>
    <w:rsid w:val="002C2C13"/>
    <w:rsid w:val="002C3672"/>
    <w:rsid w:val="002C3B72"/>
    <w:rsid w:val="002C4129"/>
    <w:rsid w:val="002C41E6"/>
    <w:rsid w:val="002C447B"/>
    <w:rsid w:val="002C542E"/>
    <w:rsid w:val="002C5A2C"/>
    <w:rsid w:val="002C5AE2"/>
    <w:rsid w:val="002C5E78"/>
    <w:rsid w:val="002C60F4"/>
    <w:rsid w:val="002C614D"/>
    <w:rsid w:val="002C633B"/>
    <w:rsid w:val="002C7445"/>
    <w:rsid w:val="002C75CA"/>
    <w:rsid w:val="002C7783"/>
    <w:rsid w:val="002C7978"/>
    <w:rsid w:val="002D071A"/>
    <w:rsid w:val="002D0D41"/>
    <w:rsid w:val="002D115A"/>
    <w:rsid w:val="002D1686"/>
    <w:rsid w:val="002D2D6F"/>
    <w:rsid w:val="002D2F20"/>
    <w:rsid w:val="002D2F80"/>
    <w:rsid w:val="002D2FC7"/>
    <w:rsid w:val="002D34B2"/>
    <w:rsid w:val="002D3D2B"/>
    <w:rsid w:val="002D3D9B"/>
    <w:rsid w:val="002D3FC2"/>
    <w:rsid w:val="002D42AB"/>
    <w:rsid w:val="002D476C"/>
    <w:rsid w:val="002D4ED7"/>
    <w:rsid w:val="002D5FA0"/>
    <w:rsid w:val="002D6209"/>
    <w:rsid w:val="002D649D"/>
    <w:rsid w:val="002D66E9"/>
    <w:rsid w:val="002D6863"/>
    <w:rsid w:val="002D6D9D"/>
    <w:rsid w:val="002D6E38"/>
    <w:rsid w:val="002D6F34"/>
    <w:rsid w:val="002D70B9"/>
    <w:rsid w:val="002D7637"/>
    <w:rsid w:val="002D7973"/>
    <w:rsid w:val="002D7B5A"/>
    <w:rsid w:val="002E0E90"/>
    <w:rsid w:val="002E0F5F"/>
    <w:rsid w:val="002E17F2"/>
    <w:rsid w:val="002E1817"/>
    <w:rsid w:val="002E1E2C"/>
    <w:rsid w:val="002E1EB0"/>
    <w:rsid w:val="002E2BBE"/>
    <w:rsid w:val="002E303B"/>
    <w:rsid w:val="002E350E"/>
    <w:rsid w:val="002E3E25"/>
    <w:rsid w:val="002E40ED"/>
    <w:rsid w:val="002E4310"/>
    <w:rsid w:val="002E4999"/>
    <w:rsid w:val="002E4A87"/>
    <w:rsid w:val="002E4C1D"/>
    <w:rsid w:val="002E4EE6"/>
    <w:rsid w:val="002E4F9F"/>
    <w:rsid w:val="002E5122"/>
    <w:rsid w:val="002E53D3"/>
    <w:rsid w:val="002E559C"/>
    <w:rsid w:val="002E5712"/>
    <w:rsid w:val="002E5E29"/>
    <w:rsid w:val="002E605C"/>
    <w:rsid w:val="002E6557"/>
    <w:rsid w:val="002E6727"/>
    <w:rsid w:val="002E705A"/>
    <w:rsid w:val="002E728C"/>
    <w:rsid w:val="002E73FF"/>
    <w:rsid w:val="002E77A2"/>
    <w:rsid w:val="002E7CAE"/>
    <w:rsid w:val="002F04D5"/>
    <w:rsid w:val="002F0BB8"/>
    <w:rsid w:val="002F0BDA"/>
    <w:rsid w:val="002F1842"/>
    <w:rsid w:val="002F1B0B"/>
    <w:rsid w:val="002F1B99"/>
    <w:rsid w:val="002F1C10"/>
    <w:rsid w:val="002F1C36"/>
    <w:rsid w:val="002F22A1"/>
    <w:rsid w:val="002F24B2"/>
    <w:rsid w:val="002F2771"/>
    <w:rsid w:val="002F27FA"/>
    <w:rsid w:val="002F37A9"/>
    <w:rsid w:val="002F39FA"/>
    <w:rsid w:val="002F3BB0"/>
    <w:rsid w:val="002F3DD2"/>
    <w:rsid w:val="002F5368"/>
    <w:rsid w:val="002F5998"/>
    <w:rsid w:val="002F6664"/>
    <w:rsid w:val="002F66DD"/>
    <w:rsid w:val="002F6CBB"/>
    <w:rsid w:val="002F6F38"/>
    <w:rsid w:val="002F7181"/>
    <w:rsid w:val="002F7184"/>
    <w:rsid w:val="002F736A"/>
    <w:rsid w:val="002F7478"/>
    <w:rsid w:val="002F770F"/>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A36"/>
    <w:rsid w:val="00314FCA"/>
    <w:rsid w:val="00315093"/>
    <w:rsid w:val="0031516A"/>
    <w:rsid w:val="00315650"/>
    <w:rsid w:val="003157FB"/>
    <w:rsid w:val="00315A56"/>
    <w:rsid w:val="00315CE3"/>
    <w:rsid w:val="003163D3"/>
    <w:rsid w:val="0031645D"/>
    <w:rsid w:val="0031657C"/>
    <w:rsid w:val="0031684F"/>
    <w:rsid w:val="0031710B"/>
    <w:rsid w:val="0031729D"/>
    <w:rsid w:val="003173CD"/>
    <w:rsid w:val="00317F70"/>
    <w:rsid w:val="0032020E"/>
    <w:rsid w:val="003203ED"/>
    <w:rsid w:val="00320708"/>
    <w:rsid w:val="003207AB"/>
    <w:rsid w:val="00320DFF"/>
    <w:rsid w:val="00321011"/>
    <w:rsid w:val="003210DA"/>
    <w:rsid w:val="00321281"/>
    <w:rsid w:val="00321321"/>
    <w:rsid w:val="00321810"/>
    <w:rsid w:val="00321CDC"/>
    <w:rsid w:val="00322146"/>
    <w:rsid w:val="003226B7"/>
    <w:rsid w:val="00322C9F"/>
    <w:rsid w:val="003231B8"/>
    <w:rsid w:val="003242A5"/>
    <w:rsid w:val="00324493"/>
    <w:rsid w:val="0032453A"/>
    <w:rsid w:val="00324566"/>
    <w:rsid w:val="00324D23"/>
    <w:rsid w:val="00325304"/>
    <w:rsid w:val="003253F2"/>
    <w:rsid w:val="00325E62"/>
    <w:rsid w:val="00325FAC"/>
    <w:rsid w:val="00326312"/>
    <w:rsid w:val="003263A3"/>
    <w:rsid w:val="00326708"/>
    <w:rsid w:val="00326C2E"/>
    <w:rsid w:val="00326E87"/>
    <w:rsid w:val="00327016"/>
    <w:rsid w:val="003274C1"/>
    <w:rsid w:val="003276F1"/>
    <w:rsid w:val="00327756"/>
    <w:rsid w:val="0032780C"/>
    <w:rsid w:val="00327DC8"/>
    <w:rsid w:val="00330B2A"/>
    <w:rsid w:val="00331751"/>
    <w:rsid w:val="003318F1"/>
    <w:rsid w:val="00331D40"/>
    <w:rsid w:val="00331EDC"/>
    <w:rsid w:val="00331EF6"/>
    <w:rsid w:val="00331FD3"/>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6C9C"/>
    <w:rsid w:val="0033704B"/>
    <w:rsid w:val="003372F0"/>
    <w:rsid w:val="00337395"/>
    <w:rsid w:val="003373A6"/>
    <w:rsid w:val="0033743B"/>
    <w:rsid w:val="00337466"/>
    <w:rsid w:val="00337CB5"/>
    <w:rsid w:val="00337EAE"/>
    <w:rsid w:val="00337FD8"/>
    <w:rsid w:val="00340EA5"/>
    <w:rsid w:val="00341277"/>
    <w:rsid w:val="00341517"/>
    <w:rsid w:val="0034182A"/>
    <w:rsid w:val="00342789"/>
    <w:rsid w:val="00342884"/>
    <w:rsid w:val="003429AF"/>
    <w:rsid w:val="00342BD7"/>
    <w:rsid w:val="00342C4C"/>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7E1"/>
    <w:rsid w:val="00350CC2"/>
    <w:rsid w:val="00351496"/>
    <w:rsid w:val="0035246D"/>
    <w:rsid w:val="00352536"/>
    <w:rsid w:val="003531C4"/>
    <w:rsid w:val="0035493D"/>
    <w:rsid w:val="00354D2C"/>
    <w:rsid w:val="00355896"/>
    <w:rsid w:val="0035598B"/>
    <w:rsid w:val="00355A0E"/>
    <w:rsid w:val="00355B1A"/>
    <w:rsid w:val="00356268"/>
    <w:rsid w:val="003566DE"/>
    <w:rsid w:val="003567F4"/>
    <w:rsid w:val="00356803"/>
    <w:rsid w:val="003569A8"/>
    <w:rsid w:val="00356E4C"/>
    <w:rsid w:val="00356F8B"/>
    <w:rsid w:val="00356FBF"/>
    <w:rsid w:val="00357003"/>
    <w:rsid w:val="0035707A"/>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A98"/>
    <w:rsid w:val="00374B4B"/>
    <w:rsid w:val="00375178"/>
    <w:rsid w:val="00375714"/>
    <w:rsid w:val="0037578D"/>
    <w:rsid w:val="003765DF"/>
    <w:rsid w:val="00376C1F"/>
    <w:rsid w:val="00376C50"/>
    <w:rsid w:val="00377440"/>
    <w:rsid w:val="003774E2"/>
    <w:rsid w:val="00377A36"/>
    <w:rsid w:val="00377CE1"/>
    <w:rsid w:val="00377DD9"/>
    <w:rsid w:val="00377E7F"/>
    <w:rsid w:val="0038006F"/>
    <w:rsid w:val="003800C9"/>
    <w:rsid w:val="003807F1"/>
    <w:rsid w:val="00380AA6"/>
    <w:rsid w:val="00380C36"/>
    <w:rsid w:val="00380D8D"/>
    <w:rsid w:val="003810E5"/>
    <w:rsid w:val="00381648"/>
    <w:rsid w:val="003821DB"/>
    <w:rsid w:val="00383086"/>
    <w:rsid w:val="0038326E"/>
    <w:rsid w:val="0038339C"/>
    <w:rsid w:val="00383556"/>
    <w:rsid w:val="00383686"/>
    <w:rsid w:val="0038382B"/>
    <w:rsid w:val="0038388B"/>
    <w:rsid w:val="0038398A"/>
    <w:rsid w:val="003839A4"/>
    <w:rsid w:val="00383D3B"/>
    <w:rsid w:val="00384089"/>
    <w:rsid w:val="003842F5"/>
    <w:rsid w:val="0038465D"/>
    <w:rsid w:val="00384BA7"/>
    <w:rsid w:val="00384EE6"/>
    <w:rsid w:val="0038546F"/>
    <w:rsid w:val="00385599"/>
    <w:rsid w:val="00385BF0"/>
    <w:rsid w:val="00386690"/>
    <w:rsid w:val="003866E1"/>
    <w:rsid w:val="00386E83"/>
    <w:rsid w:val="003871A8"/>
    <w:rsid w:val="0038736E"/>
    <w:rsid w:val="00387509"/>
    <w:rsid w:val="003879B0"/>
    <w:rsid w:val="0039028B"/>
    <w:rsid w:val="003904A6"/>
    <w:rsid w:val="003910AF"/>
    <w:rsid w:val="00391621"/>
    <w:rsid w:val="00391A43"/>
    <w:rsid w:val="00391D2D"/>
    <w:rsid w:val="00391E17"/>
    <w:rsid w:val="003929CC"/>
    <w:rsid w:val="00392CF0"/>
    <w:rsid w:val="003932A1"/>
    <w:rsid w:val="0039338A"/>
    <w:rsid w:val="0039359B"/>
    <w:rsid w:val="003939FF"/>
    <w:rsid w:val="00393D21"/>
    <w:rsid w:val="00394062"/>
    <w:rsid w:val="0039409A"/>
    <w:rsid w:val="00394153"/>
    <w:rsid w:val="00394E73"/>
    <w:rsid w:val="00394F3B"/>
    <w:rsid w:val="0039583C"/>
    <w:rsid w:val="00395A3E"/>
    <w:rsid w:val="00395C84"/>
    <w:rsid w:val="00395D96"/>
    <w:rsid w:val="00396A0E"/>
    <w:rsid w:val="00396CD6"/>
    <w:rsid w:val="00397435"/>
    <w:rsid w:val="003A00CE"/>
    <w:rsid w:val="003A0284"/>
    <w:rsid w:val="003A04CD"/>
    <w:rsid w:val="003A112C"/>
    <w:rsid w:val="003A1533"/>
    <w:rsid w:val="003A1D41"/>
    <w:rsid w:val="003A2223"/>
    <w:rsid w:val="003A22C1"/>
    <w:rsid w:val="003A273C"/>
    <w:rsid w:val="003A2A0F"/>
    <w:rsid w:val="003A3239"/>
    <w:rsid w:val="003A3376"/>
    <w:rsid w:val="003A41E6"/>
    <w:rsid w:val="003A4230"/>
    <w:rsid w:val="003A45A1"/>
    <w:rsid w:val="003A4A91"/>
    <w:rsid w:val="003A501A"/>
    <w:rsid w:val="003A57CE"/>
    <w:rsid w:val="003A57D4"/>
    <w:rsid w:val="003A5B0A"/>
    <w:rsid w:val="003A5D8E"/>
    <w:rsid w:val="003A67C8"/>
    <w:rsid w:val="003A69B2"/>
    <w:rsid w:val="003A6BAC"/>
    <w:rsid w:val="003A6C0A"/>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E"/>
    <w:rsid w:val="003B1D13"/>
    <w:rsid w:val="003B1F86"/>
    <w:rsid w:val="003B2B79"/>
    <w:rsid w:val="003B2B8E"/>
    <w:rsid w:val="003B2DF3"/>
    <w:rsid w:val="003B369F"/>
    <w:rsid w:val="003B36A3"/>
    <w:rsid w:val="003B3D34"/>
    <w:rsid w:val="003B422E"/>
    <w:rsid w:val="003B4757"/>
    <w:rsid w:val="003B47D4"/>
    <w:rsid w:val="003B4C1A"/>
    <w:rsid w:val="003B4D51"/>
    <w:rsid w:val="003B52A6"/>
    <w:rsid w:val="003B5454"/>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45B"/>
    <w:rsid w:val="003C1960"/>
    <w:rsid w:val="003C2057"/>
    <w:rsid w:val="003C24D4"/>
    <w:rsid w:val="003C2702"/>
    <w:rsid w:val="003C2D9F"/>
    <w:rsid w:val="003C31D6"/>
    <w:rsid w:val="003C3532"/>
    <w:rsid w:val="003C45E3"/>
    <w:rsid w:val="003C465F"/>
    <w:rsid w:val="003C5207"/>
    <w:rsid w:val="003C52FC"/>
    <w:rsid w:val="003C5674"/>
    <w:rsid w:val="003C6416"/>
    <w:rsid w:val="003C645F"/>
    <w:rsid w:val="003C69BB"/>
    <w:rsid w:val="003C6F75"/>
    <w:rsid w:val="003C7007"/>
    <w:rsid w:val="003C710A"/>
    <w:rsid w:val="003C7468"/>
    <w:rsid w:val="003C75F9"/>
    <w:rsid w:val="003C7806"/>
    <w:rsid w:val="003C78A4"/>
    <w:rsid w:val="003C78FE"/>
    <w:rsid w:val="003C7DAA"/>
    <w:rsid w:val="003D0114"/>
    <w:rsid w:val="003D0139"/>
    <w:rsid w:val="003D01C3"/>
    <w:rsid w:val="003D01CC"/>
    <w:rsid w:val="003D05AC"/>
    <w:rsid w:val="003D06F3"/>
    <w:rsid w:val="003D09ED"/>
    <w:rsid w:val="003D0EE0"/>
    <w:rsid w:val="003D109F"/>
    <w:rsid w:val="003D11BE"/>
    <w:rsid w:val="003D11FB"/>
    <w:rsid w:val="003D14E8"/>
    <w:rsid w:val="003D1501"/>
    <w:rsid w:val="003D1CEF"/>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441B"/>
    <w:rsid w:val="003E4513"/>
    <w:rsid w:val="003E50DB"/>
    <w:rsid w:val="003E5579"/>
    <w:rsid w:val="003E55B4"/>
    <w:rsid w:val="003E55E4"/>
    <w:rsid w:val="003E5732"/>
    <w:rsid w:val="003E58DC"/>
    <w:rsid w:val="003E5FD2"/>
    <w:rsid w:val="003E670B"/>
    <w:rsid w:val="003E7370"/>
    <w:rsid w:val="003E74DE"/>
    <w:rsid w:val="003E74E3"/>
    <w:rsid w:val="003F05C7"/>
    <w:rsid w:val="003F07A4"/>
    <w:rsid w:val="003F0946"/>
    <w:rsid w:val="003F11A8"/>
    <w:rsid w:val="003F1D71"/>
    <w:rsid w:val="003F1ED9"/>
    <w:rsid w:val="003F203B"/>
    <w:rsid w:val="003F2CD4"/>
    <w:rsid w:val="003F2FC5"/>
    <w:rsid w:val="003F309D"/>
    <w:rsid w:val="003F3644"/>
    <w:rsid w:val="003F3AF8"/>
    <w:rsid w:val="003F40A5"/>
    <w:rsid w:val="003F4193"/>
    <w:rsid w:val="003F47C3"/>
    <w:rsid w:val="003F48C2"/>
    <w:rsid w:val="003F5432"/>
    <w:rsid w:val="003F5568"/>
    <w:rsid w:val="003F5619"/>
    <w:rsid w:val="003F5FFC"/>
    <w:rsid w:val="003F6407"/>
    <w:rsid w:val="003F67D0"/>
    <w:rsid w:val="003F6843"/>
    <w:rsid w:val="003F6BBE"/>
    <w:rsid w:val="003F740C"/>
    <w:rsid w:val="003F7485"/>
    <w:rsid w:val="003F75FD"/>
    <w:rsid w:val="003F764F"/>
    <w:rsid w:val="003F78CF"/>
    <w:rsid w:val="003F79EB"/>
    <w:rsid w:val="003F7AE4"/>
    <w:rsid w:val="004000E8"/>
    <w:rsid w:val="00400114"/>
    <w:rsid w:val="00400217"/>
    <w:rsid w:val="004004CC"/>
    <w:rsid w:val="00400AD2"/>
    <w:rsid w:val="00400C41"/>
    <w:rsid w:val="004025F8"/>
    <w:rsid w:val="00402660"/>
    <w:rsid w:val="00402D26"/>
    <w:rsid w:val="00402E2B"/>
    <w:rsid w:val="00402E4B"/>
    <w:rsid w:val="0040319A"/>
    <w:rsid w:val="00403682"/>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6F"/>
    <w:rsid w:val="00411F8C"/>
    <w:rsid w:val="00412514"/>
    <w:rsid w:val="0041263E"/>
    <w:rsid w:val="00412E65"/>
    <w:rsid w:val="004131F9"/>
    <w:rsid w:val="00413836"/>
    <w:rsid w:val="00413906"/>
    <w:rsid w:val="00413AAC"/>
    <w:rsid w:val="00413B6B"/>
    <w:rsid w:val="00413D60"/>
    <w:rsid w:val="00413F22"/>
    <w:rsid w:val="00414331"/>
    <w:rsid w:val="0041495D"/>
    <w:rsid w:val="00414F57"/>
    <w:rsid w:val="00415724"/>
    <w:rsid w:val="004161EC"/>
    <w:rsid w:val="0041659B"/>
    <w:rsid w:val="00416A19"/>
    <w:rsid w:val="004170ED"/>
    <w:rsid w:val="004176D9"/>
    <w:rsid w:val="0042027A"/>
    <w:rsid w:val="00420281"/>
    <w:rsid w:val="004202B8"/>
    <w:rsid w:val="004202BF"/>
    <w:rsid w:val="004205A6"/>
    <w:rsid w:val="004210E3"/>
    <w:rsid w:val="00421105"/>
    <w:rsid w:val="00421445"/>
    <w:rsid w:val="004215AE"/>
    <w:rsid w:val="00421855"/>
    <w:rsid w:val="00421AA0"/>
    <w:rsid w:val="00421BCD"/>
    <w:rsid w:val="004226E6"/>
    <w:rsid w:val="00422816"/>
    <w:rsid w:val="004229CE"/>
    <w:rsid w:val="0042357A"/>
    <w:rsid w:val="00423927"/>
    <w:rsid w:val="00423CC7"/>
    <w:rsid w:val="00423E7D"/>
    <w:rsid w:val="0042400D"/>
    <w:rsid w:val="004242F4"/>
    <w:rsid w:val="0042465D"/>
    <w:rsid w:val="0042481A"/>
    <w:rsid w:val="00424C3A"/>
    <w:rsid w:val="00424F46"/>
    <w:rsid w:val="00424F95"/>
    <w:rsid w:val="00425572"/>
    <w:rsid w:val="00425612"/>
    <w:rsid w:val="0042570D"/>
    <w:rsid w:val="00425D6E"/>
    <w:rsid w:val="00425F91"/>
    <w:rsid w:val="004261FD"/>
    <w:rsid w:val="0042652B"/>
    <w:rsid w:val="00426920"/>
    <w:rsid w:val="004271FE"/>
    <w:rsid w:val="00427248"/>
    <w:rsid w:val="00427263"/>
    <w:rsid w:val="004278CF"/>
    <w:rsid w:val="004300C4"/>
    <w:rsid w:val="00430151"/>
    <w:rsid w:val="004306D6"/>
    <w:rsid w:val="00430B0D"/>
    <w:rsid w:val="00431ED4"/>
    <w:rsid w:val="004325C8"/>
    <w:rsid w:val="004330D1"/>
    <w:rsid w:val="00433169"/>
    <w:rsid w:val="004331EB"/>
    <w:rsid w:val="00433EC8"/>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747"/>
    <w:rsid w:val="0043788D"/>
    <w:rsid w:val="00437A0C"/>
    <w:rsid w:val="00437F73"/>
    <w:rsid w:val="00441602"/>
    <w:rsid w:val="00441A92"/>
    <w:rsid w:val="00441CE3"/>
    <w:rsid w:val="00441EDA"/>
    <w:rsid w:val="0044216B"/>
    <w:rsid w:val="004422BE"/>
    <w:rsid w:val="004425E7"/>
    <w:rsid w:val="00442959"/>
    <w:rsid w:val="00442E46"/>
    <w:rsid w:val="00442FC8"/>
    <w:rsid w:val="004438AC"/>
    <w:rsid w:val="00443B5A"/>
    <w:rsid w:val="00443D65"/>
    <w:rsid w:val="0044448F"/>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1D20"/>
    <w:rsid w:val="00452197"/>
    <w:rsid w:val="00452299"/>
    <w:rsid w:val="004526F1"/>
    <w:rsid w:val="0045276D"/>
    <w:rsid w:val="00452A01"/>
    <w:rsid w:val="00452C65"/>
    <w:rsid w:val="00452CAC"/>
    <w:rsid w:val="004533D7"/>
    <w:rsid w:val="00453C55"/>
    <w:rsid w:val="00453F9F"/>
    <w:rsid w:val="0045437B"/>
    <w:rsid w:val="00454823"/>
    <w:rsid w:val="004548D3"/>
    <w:rsid w:val="00455916"/>
    <w:rsid w:val="00455BD2"/>
    <w:rsid w:val="00456212"/>
    <w:rsid w:val="00456303"/>
    <w:rsid w:val="0045658C"/>
    <w:rsid w:val="00456DA2"/>
    <w:rsid w:val="004571A3"/>
    <w:rsid w:val="00457565"/>
    <w:rsid w:val="00457829"/>
    <w:rsid w:val="00457B71"/>
    <w:rsid w:val="0046019C"/>
    <w:rsid w:val="00460518"/>
    <w:rsid w:val="00460E2C"/>
    <w:rsid w:val="0046183D"/>
    <w:rsid w:val="00461C51"/>
    <w:rsid w:val="00461D23"/>
    <w:rsid w:val="00461FE7"/>
    <w:rsid w:val="004622BE"/>
    <w:rsid w:val="0046233E"/>
    <w:rsid w:val="0046297F"/>
    <w:rsid w:val="00462AA9"/>
    <w:rsid w:val="00462BB1"/>
    <w:rsid w:val="0046356A"/>
    <w:rsid w:val="00463A78"/>
    <w:rsid w:val="004650CC"/>
    <w:rsid w:val="00465B2E"/>
    <w:rsid w:val="00465F3C"/>
    <w:rsid w:val="004669E2"/>
    <w:rsid w:val="004669FE"/>
    <w:rsid w:val="00466AC1"/>
    <w:rsid w:val="00466B6D"/>
    <w:rsid w:val="00466CC6"/>
    <w:rsid w:val="0046704D"/>
    <w:rsid w:val="004671E7"/>
    <w:rsid w:val="00467FFB"/>
    <w:rsid w:val="0047005D"/>
    <w:rsid w:val="004701C7"/>
    <w:rsid w:val="00470C31"/>
    <w:rsid w:val="0047134D"/>
    <w:rsid w:val="00471DF1"/>
    <w:rsid w:val="004722A1"/>
    <w:rsid w:val="0047230D"/>
    <w:rsid w:val="00472465"/>
    <w:rsid w:val="0047262F"/>
    <w:rsid w:val="00472999"/>
    <w:rsid w:val="0047349A"/>
    <w:rsid w:val="004734D0"/>
    <w:rsid w:val="00473B63"/>
    <w:rsid w:val="00473E90"/>
    <w:rsid w:val="00474771"/>
    <w:rsid w:val="00474CFE"/>
    <w:rsid w:val="0047544D"/>
    <w:rsid w:val="0047556B"/>
    <w:rsid w:val="004758F8"/>
    <w:rsid w:val="00475A36"/>
    <w:rsid w:val="0047619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4A4"/>
    <w:rsid w:val="0048657C"/>
    <w:rsid w:val="00486D0C"/>
    <w:rsid w:val="0048722F"/>
    <w:rsid w:val="00487464"/>
    <w:rsid w:val="004904D8"/>
    <w:rsid w:val="00490781"/>
    <w:rsid w:val="00490DAD"/>
    <w:rsid w:val="00490FD4"/>
    <w:rsid w:val="00491C77"/>
    <w:rsid w:val="00491EB7"/>
    <w:rsid w:val="0049218E"/>
    <w:rsid w:val="004922EF"/>
    <w:rsid w:val="004929BE"/>
    <w:rsid w:val="00492BC5"/>
    <w:rsid w:val="00492D49"/>
    <w:rsid w:val="00492D84"/>
    <w:rsid w:val="0049322F"/>
    <w:rsid w:val="004938F1"/>
    <w:rsid w:val="0049478E"/>
    <w:rsid w:val="00494921"/>
    <w:rsid w:val="004949EB"/>
    <w:rsid w:val="00495909"/>
    <w:rsid w:val="00495A2F"/>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721"/>
    <w:rsid w:val="004A3A0F"/>
    <w:rsid w:val="004A43AE"/>
    <w:rsid w:val="004A46DD"/>
    <w:rsid w:val="004A4E57"/>
    <w:rsid w:val="004A518E"/>
    <w:rsid w:val="004A5854"/>
    <w:rsid w:val="004A5BB1"/>
    <w:rsid w:val="004A5F5E"/>
    <w:rsid w:val="004A6016"/>
    <w:rsid w:val="004A6120"/>
    <w:rsid w:val="004A67B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6DE"/>
    <w:rsid w:val="004B1776"/>
    <w:rsid w:val="004B1812"/>
    <w:rsid w:val="004B1848"/>
    <w:rsid w:val="004B20C2"/>
    <w:rsid w:val="004B2681"/>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0E9D"/>
    <w:rsid w:val="004C13CD"/>
    <w:rsid w:val="004C1834"/>
    <w:rsid w:val="004C18D5"/>
    <w:rsid w:val="004C18DF"/>
    <w:rsid w:val="004C342C"/>
    <w:rsid w:val="004C36E5"/>
    <w:rsid w:val="004C3898"/>
    <w:rsid w:val="004C3B9F"/>
    <w:rsid w:val="004C4B55"/>
    <w:rsid w:val="004C4C55"/>
    <w:rsid w:val="004C4FC6"/>
    <w:rsid w:val="004C50EE"/>
    <w:rsid w:val="004C5A0F"/>
    <w:rsid w:val="004C5AB6"/>
    <w:rsid w:val="004C5D30"/>
    <w:rsid w:val="004C604A"/>
    <w:rsid w:val="004C6379"/>
    <w:rsid w:val="004C638A"/>
    <w:rsid w:val="004C6A07"/>
    <w:rsid w:val="004C6D51"/>
    <w:rsid w:val="004C7B0E"/>
    <w:rsid w:val="004C7D15"/>
    <w:rsid w:val="004C7F07"/>
    <w:rsid w:val="004D1C97"/>
    <w:rsid w:val="004D1E58"/>
    <w:rsid w:val="004D1E96"/>
    <w:rsid w:val="004D2162"/>
    <w:rsid w:val="004D21D0"/>
    <w:rsid w:val="004D259C"/>
    <w:rsid w:val="004D2866"/>
    <w:rsid w:val="004D2DF5"/>
    <w:rsid w:val="004D368F"/>
    <w:rsid w:val="004D36B1"/>
    <w:rsid w:val="004D37C2"/>
    <w:rsid w:val="004D38E9"/>
    <w:rsid w:val="004D39EC"/>
    <w:rsid w:val="004D4254"/>
    <w:rsid w:val="004D449E"/>
    <w:rsid w:val="004D4573"/>
    <w:rsid w:val="004D4C55"/>
    <w:rsid w:val="004D4CED"/>
    <w:rsid w:val="004D55F5"/>
    <w:rsid w:val="004D5D82"/>
    <w:rsid w:val="004D5EBD"/>
    <w:rsid w:val="004D5F9B"/>
    <w:rsid w:val="004D605C"/>
    <w:rsid w:val="004D6660"/>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71"/>
    <w:rsid w:val="004E3BE7"/>
    <w:rsid w:val="004E3D87"/>
    <w:rsid w:val="004E406D"/>
    <w:rsid w:val="004E462E"/>
    <w:rsid w:val="004E4A54"/>
    <w:rsid w:val="004E4C6E"/>
    <w:rsid w:val="004E4FA9"/>
    <w:rsid w:val="004E56DC"/>
    <w:rsid w:val="004E57AD"/>
    <w:rsid w:val="004E62DD"/>
    <w:rsid w:val="004E6462"/>
    <w:rsid w:val="004E64C0"/>
    <w:rsid w:val="004E74E9"/>
    <w:rsid w:val="004E76F4"/>
    <w:rsid w:val="004E77DD"/>
    <w:rsid w:val="004E7A69"/>
    <w:rsid w:val="004F09FF"/>
    <w:rsid w:val="004F0B4E"/>
    <w:rsid w:val="004F0B6C"/>
    <w:rsid w:val="004F10ED"/>
    <w:rsid w:val="004F12E3"/>
    <w:rsid w:val="004F189C"/>
    <w:rsid w:val="004F1BDE"/>
    <w:rsid w:val="004F1DA9"/>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002"/>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B32"/>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8EE"/>
    <w:rsid w:val="00526912"/>
    <w:rsid w:val="00527001"/>
    <w:rsid w:val="00527161"/>
    <w:rsid w:val="005272ED"/>
    <w:rsid w:val="005278BF"/>
    <w:rsid w:val="00527A26"/>
    <w:rsid w:val="00527B8A"/>
    <w:rsid w:val="00527DA1"/>
    <w:rsid w:val="005303C3"/>
    <w:rsid w:val="00530673"/>
    <w:rsid w:val="00530DAA"/>
    <w:rsid w:val="00530F80"/>
    <w:rsid w:val="005313E1"/>
    <w:rsid w:val="0053142D"/>
    <w:rsid w:val="0053191D"/>
    <w:rsid w:val="00531AE2"/>
    <w:rsid w:val="0053203B"/>
    <w:rsid w:val="00532457"/>
    <w:rsid w:val="00532E66"/>
    <w:rsid w:val="005331FC"/>
    <w:rsid w:val="00533C34"/>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C94"/>
    <w:rsid w:val="00542F77"/>
    <w:rsid w:val="0054313D"/>
    <w:rsid w:val="00543AEC"/>
    <w:rsid w:val="00543BB2"/>
    <w:rsid w:val="00544259"/>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99F"/>
    <w:rsid w:val="00550D63"/>
    <w:rsid w:val="00550FB1"/>
    <w:rsid w:val="00551768"/>
    <w:rsid w:val="00551846"/>
    <w:rsid w:val="00551C18"/>
    <w:rsid w:val="00551DFB"/>
    <w:rsid w:val="005524E2"/>
    <w:rsid w:val="00552829"/>
    <w:rsid w:val="00552B90"/>
    <w:rsid w:val="005532C7"/>
    <w:rsid w:val="0055337C"/>
    <w:rsid w:val="0055383E"/>
    <w:rsid w:val="005538C4"/>
    <w:rsid w:val="00553CFB"/>
    <w:rsid w:val="00553D9B"/>
    <w:rsid w:val="005540FC"/>
    <w:rsid w:val="00554171"/>
    <w:rsid w:val="005541AD"/>
    <w:rsid w:val="00554E19"/>
    <w:rsid w:val="00554FCF"/>
    <w:rsid w:val="00555468"/>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2E4"/>
    <w:rsid w:val="0056572F"/>
    <w:rsid w:val="00565DC4"/>
    <w:rsid w:val="0056692E"/>
    <w:rsid w:val="00566BD3"/>
    <w:rsid w:val="005672C9"/>
    <w:rsid w:val="00567332"/>
    <w:rsid w:val="005677F3"/>
    <w:rsid w:val="00567B94"/>
    <w:rsid w:val="00567C78"/>
    <w:rsid w:val="0057007E"/>
    <w:rsid w:val="00570AA2"/>
    <w:rsid w:val="00570BFF"/>
    <w:rsid w:val="0057136D"/>
    <w:rsid w:val="00571674"/>
    <w:rsid w:val="005717B2"/>
    <w:rsid w:val="00572505"/>
    <w:rsid w:val="005725ED"/>
    <w:rsid w:val="00572C10"/>
    <w:rsid w:val="00572C73"/>
    <w:rsid w:val="00572E28"/>
    <w:rsid w:val="005731E5"/>
    <w:rsid w:val="0057386B"/>
    <w:rsid w:val="00573E1A"/>
    <w:rsid w:val="0057494E"/>
    <w:rsid w:val="00574CEF"/>
    <w:rsid w:val="005752D2"/>
    <w:rsid w:val="0057565C"/>
    <w:rsid w:val="00575AA3"/>
    <w:rsid w:val="00575CCD"/>
    <w:rsid w:val="00575EF0"/>
    <w:rsid w:val="00576B24"/>
    <w:rsid w:val="00576DE1"/>
    <w:rsid w:val="00577413"/>
    <w:rsid w:val="00577D45"/>
    <w:rsid w:val="005808E4"/>
    <w:rsid w:val="005809A8"/>
    <w:rsid w:val="00580E0D"/>
    <w:rsid w:val="00581D7A"/>
    <w:rsid w:val="00581F80"/>
    <w:rsid w:val="005820A5"/>
    <w:rsid w:val="0058263B"/>
    <w:rsid w:val="00582809"/>
    <w:rsid w:val="0058284A"/>
    <w:rsid w:val="005829D8"/>
    <w:rsid w:val="00582AF5"/>
    <w:rsid w:val="00582C0A"/>
    <w:rsid w:val="00582E75"/>
    <w:rsid w:val="00582EFE"/>
    <w:rsid w:val="00583700"/>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87CCE"/>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1"/>
    <w:rsid w:val="005948C2"/>
    <w:rsid w:val="00594B24"/>
    <w:rsid w:val="0059520A"/>
    <w:rsid w:val="0059533D"/>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C58"/>
    <w:rsid w:val="005A2E42"/>
    <w:rsid w:val="005A3A20"/>
    <w:rsid w:val="005A454C"/>
    <w:rsid w:val="005A454D"/>
    <w:rsid w:val="005A4CBF"/>
    <w:rsid w:val="005A4E1D"/>
    <w:rsid w:val="005A4EA6"/>
    <w:rsid w:val="005A5223"/>
    <w:rsid w:val="005A5490"/>
    <w:rsid w:val="005A57FF"/>
    <w:rsid w:val="005A662D"/>
    <w:rsid w:val="005A68A0"/>
    <w:rsid w:val="005A6BC2"/>
    <w:rsid w:val="005A6DCC"/>
    <w:rsid w:val="005A6DD5"/>
    <w:rsid w:val="005A6EBB"/>
    <w:rsid w:val="005B0638"/>
    <w:rsid w:val="005B0D0E"/>
    <w:rsid w:val="005B0FDD"/>
    <w:rsid w:val="005B1142"/>
    <w:rsid w:val="005B145B"/>
    <w:rsid w:val="005B1A6A"/>
    <w:rsid w:val="005B1B7F"/>
    <w:rsid w:val="005B2420"/>
    <w:rsid w:val="005B25AB"/>
    <w:rsid w:val="005B3475"/>
    <w:rsid w:val="005B3494"/>
    <w:rsid w:val="005B3514"/>
    <w:rsid w:val="005B35D7"/>
    <w:rsid w:val="005B3605"/>
    <w:rsid w:val="005B392A"/>
    <w:rsid w:val="005B39EF"/>
    <w:rsid w:val="005B3AA3"/>
    <w:rsid w:val="005B3E2A"/>
    <w:rsid w:val="005B4791"/>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0A6"/>
    <w:rsid w:val="005C137B"/>
    <w:rsid w:val="005C163C"/>
    <w:rsid w:val="005C1AB6"/>
    <w:rsid w:val="005C1F7C"/>
    <w:rsid w:val="005C25CE"/>
    <w:rsid w:val="005C2BAA"/>
    <w:rsid w:val="005C2D7B"/>
    <w:rsid w:val="005C337C"/>
    <w:rsid w:val="005C364D"/>
    <w:rsid w:val="005C3D55"/>
    <w:rsid w:val="005C3F54"/>
    <w:rsid w:val="005C3FFA"/>
    <w:rsid w:val="005C4A6B"/>
    <w:rsid w:val="005C4A73"/>
    <w:rsid w:val="005C4CB0"/>
    <w:rsid w:val="005C5529"/>
    <w:rsid w:val="005C57A8"/>
    <w:rsid w:val="005C618D"/>
    <w:rsid w:val="005C6700"/>
    <w:rsid w:val="005C6B93"/>
    <w:rsid w:val="005C726C"/>
    <w:rsid w:val="005C74FB"/>
    <w:rsid w:val="005C77B9"/>
    <w:rsid w:val="005C7C1A"/>
    <w:rsid w:val="005D08B3"/>
    <w:rsid w:val="005D0BF9"/>
    <w:rsid w:val="005D1602"/>
    <w:rsid w:val="005D1741"/>
    <w:rsid w:val="005D1995"/>
    <w:rsid w:val="005D1B77"/>
    <w:rsid w:val="005D1B9A"/>
    <w:rsid w:val="005D2931"/>
    <w:rsid w:val="005D2A69"/>
    <w:rsid w:val="005D341C"/>
    <w:rsid w:val="005D3628"/>
    <w:rsid w:val="005D3E8F"/>
    <w:rsid w:val="005D4031"/>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1DE0"/>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4AC"/>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47A"/>
    <w:rsid w:val="005F4642"/>
    <w:rsid w:val="005F4749"/>
    <w:rsid w:val="005F59BF"/>
    <w:rsid w:val="005F5C62"/>
    <w:rsid w:val="005F5FE3"/>
    <w:rsid w:val="005F618C"/>
    <w:rsid w:val="005F62BA"/>
    <w:rsid w:val="005F6970"/>
    <w:rsid w:val="005F70BD"/>
    <w:rsid w:val="005F7104"/>
    <w:rsid w:val="005F73E9"/>
    <w:rsid w:val="005F7528"/>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18"/>
    <w:rsid w:val="00604526"/>
    <w:rsid w:val="006048AF"/>
    <w:rsid w:val="00604F14"/>
    <w:rsid w:val="006054AA"/>
    <w:rsid w:val="006055B5"/>
    <w:rsid w:val="006059D6"/>
    <w:rsid w:val="00606595"/>
    <w:rsid w:val="0060681E"/>
    <w:rsid w:val="0060789A"/>
    <w:rsid w:val="00607A9A"/>
    <w:rsid w:val="00607D1D"/>
    <w:rsid w:val="00610923"/>
    <w:rsid w:val="00610A59"/>
    <w:rsid w:val="00610E21"/>
    <w:rsid w:val="00611224"/>
    <w:rsid w:val="00611754"/>
    <w:rsid w:val="00611B83"/>
    <w:rsid w:val="00612156"/>
    <w:rsid w:val="00612181"/>
    <w:rsid w:val="006121AF"/>
    <w:rsid w:val="0061262E"/>
    <w:rsid w:val="0061297E"/>
    <w:rsid w:val="006129B4"/>
    <w:rsid w:val="00613257"/>
    <w:rsid w:val="00613382"/>
    <w:rsid w:val="006140D6"/>
    <w:rsid w:val="0061416C"/>
    <w:rsid w:val="0061434D"/>
    <w:rsid w:val="006148DD"/>
    <w:rsid w:val="00614B4D"/>
    <w:rsid w:val="00614FA2"/>
    <w:rsid w:val="006151A4"/>
    <w:rsid w:val="00615B56"/>
    <w:rsid w:val="00616101"/>
    <w:rsid w:val="00616757"/>
    <w:rsid w:val="006167FF"/>
    <w:rsid w:val="00616E09"/>
    <w:rsid w:val="00617A53"/>
    <w:rsid w:val="00620172"/>
    <w:rsid w:val="006203F7"/>
    <w:rsid w:val="006205EF"/>
    <w:rsid w:val="006207C1"/>
    <w:rsid w:val="00620985"/>
    <w:rsid w:val="00620A71"/>
    <w:rsid w:val="00620CB7"/>
    <w:rsid w:val="00620D80"/>
    <w:rsid w:val="00620EF7"/>
    <w:rsid w:val="006212CE"/>
    <w:rsid w:val="00621517"/>
    <w:rsid w:val="006216F1"/>
    <w:rsid w:val="0062180B"/>
    <w:rsid w:val="006219DF"/>
    <w:rsid w:val="00621F8B"/>
    <w:rsid w:val="00622283"/>
    <w:rsid w:val="00622947"/>
    <w:rsid w:val="0062331D"/>
    <w:rsid w:val="006233F6"/>
    <w:rsid w:val="006234A6"/>
    <w:rsid w:val="00623778"/>
    <w:rsid w:val="00623BD1"/>
    <w:rsid w:val="0062430F"/>
    <w:rsid w:val="006247C8"/>
    <w:rsid w:val="00624CE8"/>
    <w:rsid w:val="00624DE5"/>
    <w:rsid w:val="00624F65"/>
    <w:rsid w:val="00625C46"/>
    <w:rsid w:val="00625D20"/>
    <w:rsid w:val="00625EF5"/>
    <w:rsid w:val="006262E8"/>
    <w:rsid w:val="00626451"/>
    <w:rsid w:val="00626A71"/>
    <w:rsid w:val="006275F0"/>
    <w:rsid w:val="00627D88"/>
    <w:rsid w:val="00630001"/>
    <w:rsid w:val="006300B5"/>
    <w:rsid w:val="0063082B"/>
    <w:rsid w:val="00630DD9"/>
    <w:rsid w:val="00630E78"/>
    <w:rsid w:val="006311B3"/>
    <w:rsid w:val="00631474"/>
    <w:rsid w:val="006315D5"/>
    <w:rsid w:val="00631903"/>
    <w:rsid w:val="00631F64"/>
    <w:rsid w:val="00632007"/>
    <w:rsid w:val="006326A8"/>
    <w:rsid w:val="006326FE"/>
    <w:rsid w:val="0063284C"/>
    <w:rsid w:val="0063289D"/>
    <w:rsid w:val="00633B67"/>
    <w:rsid w:val="00634038"/>
    <w:rsid w:val="006340F7"/>
    <w:rsid w:val="00634395"/>
    <w:rsid w:val="006348C3"/>
    <w:rsid w:val="00634C50"/>
    <w:rsid w:val="00634EAB"/>
    <w:rsid w:val="0063597D"/>
    <w:rsid w:val="00635E58"/>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C4F"/>
    <w:rsid w:val="0064151F"/>
    <w:rsid w:val="00641533"/>
    <w:rsid w:val="00641FF1"/>
    <w:rsid w:val="0064208D"/>
    <w:rsid w:val="00642360"/>
    <w:rsid w:val="00642826"/>
    <w:rsid w:val="00642C34"/>
    <w:rsid w:val="00643175"/>
    <w:rsid w:val="00643475"/>
    <w:rsid w:val="0064383B"/>
    <w:rsid w:val="0064396A"/>
    <w:rsid w:val="00644130"/>
    <w:rsid w:val="006441ED"/>
    <w:rsid w:val="0064487E"/>
    <w:rsid w:val="00644DE7"/>
    <w:rsid w:val="00645168"/>
    <w:rsid w:val="00645287"/>
    <w:rsid w:val="00645816"/>
    <w:rsid w:val="00645988"/>
    <w:rsid w:val="00645CE5"/>
    <w:rsid w:val="00645DD1"/>
    <w:rsid w:val="00646098"/>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85"/>
    <w:rsid w:val="00651EF5"/>
    <w:rsid w:val="00652466"/>
    <w:rsid w:val="00652754"/>
    <w:rsid w:val="00652907"/>
    <w:rsid w:val="00652963"/>
    <w:rsid w:val="0065357E"/>
    <w:rsid w:val="006545DF"/>
    <w:rsid w:val="0065471D"/>
    <w:rsid w:val="0065473C"/>
    <w:rsid w:val="00654D3D"/>
    <w:rsid w:val="00654F62"/>
    <w:rsid w:val="00655149"/>
    <w:rsid w:val="00655448"/>
    <w:rsid w:val="00655733"/>
    <w:rsid w:val="006557B9"/>
    <w:rsid w:val="00655ACD"/>
    <w:rsid w:val="00655D4B"/>
    <w:rsid w:val="00655D59"/>
    <w:rsid w:val="006560F8"/>
    <w:rsid w:val="006569C5"/>
    <w:rsid w:val="00656A92"/>
    <w:rsid w:val="00656DDE"/>
    <w:rsid w:val="00657823"/>
    <w:rsid w:val="00657A87"/>
    <w:rsid w:val="0066011D"/>
    <w:rsid w:val="0066073C"/>
    <w:rsid w:val="006607C0"/>
    <w:rsid w:val="00660A2D"/>
    <w:rsid w:val="006613A6"/>
    <w:rsid w:val="00661833"/>
    <w:rsid w:val="00661940"/>
    <w:rsid w:val="00661F36"/>
    <w:rsid w:val="00661F81"/>
    <w:rsid w:val="006627A2"/>
    <w:rsid w:val="00662936"/>
    <w:rsid w:val="00662E60"/>
    <w:rsid w:val="00662E97"/>
    <w:rsid w:val="006632DD"/>
    <w:rsid w:val="006634E6"/>
    <w:rsid w:val="00663838"/>
    <w:rsid w:val="00663F91"/>
    <w:rsid w:val="00664A22"/>
    <w:rsid w:val="006653D6"/>
    <w:rsid w:val="006654B8"/>
    <w:rsid w:val="006655EE"/>
    <w:rsid w:val="0066568F"/>
    <w:rsid w:val="00665761"/>
    <w:rsid w:val="006658D7"/>
    <w:rsid w:val="00667EE7"/>
    <w:rsid w:val="00667F1E"/>
    <w:rsid w:val="0067030E"/>
    <w:rsid w:val="00670922"/>
    <w:rsid w:val="00670AB3"/>
    <w:rsid w:val="00670B0C"/>
    <w:rsid w:val="00670B7B"/>
    <w:rsid w:val="00670BE1"/>
    <w:rsid w:val="006712CA"/>
    <w:rsid w:val="0067192F"/>
    <w:rsid w:val="00671E79"/>
    <w:rsid w:val="0067218F"/>
    <w:rsid w:val="006721EE"/>
    <w:rsid w:val="006734DB"/>
    <w:rsid w:val="00674029"/>
    <w:rsid w:val="006740A9"/>
    <w:rsid w:val="006741F2"/>
    <w:rsid w:val="0067427F"/>
    <w:rsid w:val="00674CC3"/>
    <w:rsid w:val="00674DB7"/>
    <w:rsid w:val="00674FEB"/>
    <w:rsid w:val="006758EB"/>
    <w:rsid w:val="0067596F"/>
    <w:rsid w:val="00675BCC"/>
    <w:rsid w:val="00675C72"/>
    <w:rsid w:val="006761EA"/>
    <w:rsid w:val="00676B21"/>
    <w:rsid w:val="00677150"/>
    <w:rsid w:val="006771F9"/>
    <w:rsid w:val="00677396"/>
    <w:rsid w:val="00677484"/>
    <w:rsid w:val="006774A9"/>
    <w:rsid w:val="006776D7"/>
    <w:rsid w:val="00677BF9"/>
    <w:rsid w:val="00680C16"/>
    <w:rsid w:val="00680F2D"/>
    <w:rsid w:val="00681003"/>
    <w:rsid w:val="0068176D"/>
    <w:rsid w:val="006817C9"/>
    <w:rsid w:val="006829F0"/>
    <w:rsid w:val="00683629"/>
    <w:rsid w:val="00683B98"/>
    <w:rsid w:val="00683D7D"/>
    <w:rsid w:val="00683ECE"/>
    <w:rsid w:val="00684DEE"/>
    <w:rsid w:val="00684E0B"/>
    <w:rsid w:val="006851E8"/>
    <w:rsid w:val="00685DA1"/>
    <w:rsid w:val="00686164"/>
    <w:rsid w:val="00686261"/>
    <w:rsid w:val="00686715"/>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4EEA"/>
    <w:rsid w:val="00695C1A"/>
    <w:rsid w:val="00695FC2"/>
    <w:rsid w:val="00696053"/>
    <w:rsid w:val="0069630D"/>
    <w:rsid w:val="006968B5"/>
    <w:rsid w:val="00696949"/>
    <w:rsid w:val="006969D1"/>
    <w:rsid w:val="00696F21"/>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3FA1"/>
    <w:rsid w:val="006A4099"/>
    <w:rsid w:val="006A45DF"/>
    <w:rsid w:val="006A46FB"/>
    <w:rsid w:val="006A49A0"/>
    <w:rsid w:val="006A4B39"/>
    <w:rsid w:val="006A52D4"/>
    <w:rsid w:val="006A53CB"/>
    <w:rsid w:val="006A58B0"/>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75A"/>
    <w:rsid w:val="006B2E45"/>
    <w:rsid w:val="006B2ED6"/>
    <w:rsid w:val="006B310C"/>
    <w:rsid w:val="006B338F"/>
    <w:rsid w:val="006B369F"/>
    <w:rsid w:val="006B3EE8"/>
    <w:rsid w:val="006B45AC"/>
    <w:rsid w:val="006B48C7"/>
    <w:rsid w:val="006B4CB5"/>
    <w:rsid w:val="006B4ED7"/>
    <w:rsid w:val="006B50CF"/>
    <w:rsid w:val="006B5C30"/>
    <w:rsid w:val="006B6171"/>
    <w:rsid w:val="006B7D58"/>
    <w:rsid w:val="006B7D96"/>
    <w:rsid w:val="006C0025"/>
    <w:rsid w:val="006C00E7"/>
    <w:rsid w:val="006C03B8"/>
    <w:rsid w:val="006C0509"/>
    <w:rsid w:val="006C0A7B"/>
    <w:rsid w:val="006C0C72"/>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E8E"/>
    <w:rsid w:val="006D0FC1"/>
    <w:rsid w:val="006D1C78"/>
    <w:rsid w:val="006D1F89"/>
    <w:rsid w:val="006D20DE"/>
    <w:rsid w:val="006D2F02"/>
    <w:rsid w:val="006D340B"/>
    <w:rsid w:val="006D39FB"/>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56D8"/>
    <w:rsid w:val="006E59DE"/>
    <w:rsid w:val="006E673D"/>
    <w:rsid w:val="006E7D3B"/>
    <w:rsid w:val="006F1038"/>
    <w:rsid w:val="006F13AC"/>
    <w:rsid w:val="006F1B70"/>
    <w:rsid w:val="006F1DE8"/>
    <w:rsid w:val="006F1EF8"/>
    <w:rsid w:val="006F3070"/>
    <w:rsid w:val="006F341D"/>
    <w:rsid w:val="006F35DD"/>
    <w:rsid w:val="006F3A4E"/>
    <w:rsid w:val="006F3B09"/>
    <w:rsid w:val="006F3B6C"/>
    <w:rsid w:val="006F3CDE"/>
    <w:rsid w:val="006F49C5"/>
    <w:rsid w:val="006F4CFC"/>
    <w:rsid w:val="006F58D4"/>
    <w:rsid w:val="006F592A"/>
    <w:rsid w:val="006F5969"/>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CC"/>
    <w:rsid w:val="00704EDB"/>
    <w:rsid w:val="00704FEA"/>
    <w:rsid w:val="00705142"/>
    <w:rsid w:val="0070532C"/>
    <w:rsid w:val="0070557B"/>
    <w:rsid w:val="00706101"/>
    <w:rsid w:val="007067DC"/>
    <w:rsid w:val="00706A21"/>
    <w:rsid w:val="00707072"/>
    <w:rsid w:val="00707478"/>
    <w:rsid w:val="00707738"/>
    <w:rsid w:val="00707D61"/>
    <w:rsid w:val="007103AA"/>
    <w:rsid w:val="0071055E"/>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80E"/>
    <w:rsid w:val="00722BBB"/>
    <w:rsid w:val="00722D1D"/>
    <w:rsid w:val="00722EEA"/>
    <w:rsid w:val="00723119"/>
    <w:rsid w:val="007232A9"/>
    <w:rsid w:val="00723837"/>
    <w:rsid w:val="0072422D"/>
    <w:rsid w:val="007256CC"/>
    <w:rsid w:val="00725867"/>
    <w:rsid w:val="00725AE1"/>
    <w:rsid w:val="00726C90"/>
    <w:rsid w:val="00726EA6"/>
    <w:rsid w:val="00727026"/>
    <w:rsid w:val="00727208"/>
    <w:rsid w:val="00727320"/>
    <w:rsid w:val="00727424"/>
    <w:rsid w:val="00727680"/>
    <w:rsid w:val="00727DD6"/>
    <w:rsid w:val="00727F4F"/>
    <w:rsid w:val="00730377"/>
    <w:rsid w:val="007303F9"/>
    <w:rsid w:val="00730B59"/>
    <w:rsid w:val="00730D00"/>
    <w:rsid w:val="00730E0D"/>
    <w:rsid w:val="0073190C"/>
    <w:rsid w:val="00732401"/>
    <w:rsid w:val="007324AF"/>
    <w:rsid w:val="00732821"/>
    <w:rsid w:val="0073291C"/>
    <w:rsid w:val="0073318C"/>
    <w:rsid w:val="007332FC"/>
    <w:rsid w:val="00733A9F"/>
    <w:rsid w:val="00733CA5"/>
    <w:rsid w:val="00733DE0"/>
    <w:rsid w:val="00733E10"/>
    <w:rsid w:val="007346D0"/>
    <w:rsid w:val="007348B1"/>
    <w:rsid w:val="00734924"/>
    <w:rsid w:val="007350FB"/>
    <w:rsid w:val="00735AA4"/>
    <w:rsid w:val="00735AAE"/>
    <w:rsid w:val="00735E68"/>
    <w:rsid w:val="007362A6"/>
    <w:rsid w:val="00736579"/>
    <w:rsid w:val="0073680D"/>
    <w:rsid w:val="00736970"/>
    <w:rsid w:val="00736D7D"/>
    <w:rsid w:val="00736D91"/>
    <w:rsid w:val="007375CD"/>
    <w:rsid w:val="00737BBD"/>
    <w:rsid w:val="00740A1E"/>
    <w:rsid w:val="00740D49"/>
    <w:rsid w:val="00740E58"/>
    <w:rsid w:val="00741404"/>
    <w:rsid w:val="007415BB"/>
    <w:rsid w:val="00742E6C"/>
    <w:rsid w:val="00743D27"/>
    <w:rsid w:val="007441FB"/>
    <w:rsid w:val="007445A0"/>
    <w:rsid w:val="007448AF"/>
    <w:rsid w:val="007448C2"/>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3F2"/>
    <w:rsid w:val="00750725"/>
    <w:rsid w:val="0075072A"/>
    <w:rsid w:val="00751228"/>
    <w:rsid w:val="00751C4D"/>
    <w:rsid w:val="00751C91"/>
    <w:rsid w:val="00751DB7"/>
    <w:rsid w:val="00752194"/>
    <w:rsid w:val="00752661"/>
    <w:rsid w:val="00752C1F"/>
    <w:rsid w:val="00753476"/>
    <w:rsid w:val="0075388B"/>
    <w:rsid w:val="00754B8E"/>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597"/>
    <w:rsid w:val="00766949"/>
    <w:rsid w:val="00766BAD"/>
    <w:rsid w:val="00766C36"/>
    <w:rsid w:val="007678E9"/>
    <w:rsid w:val="00767978"/>
    <w:rsid w:val="00767A44"/>
    <w:rsid w:val="00767D95"/>
    <w:rsid w:val="007701E4"/>
    <w:rsid w:val="00770803"/>
    <w:rsid w:val="00770E2A"/>
    <w:rsid w:val="007713C4"/>
    <w:rsid w:val="0077159B"/>
    <w:rsid w:val="00772211"/>
    <w:rsid w:val="00772357"/>
    <w:rsid w:val="0077254F"/>
    <w:rsid w:val="0077377E"/>
    <w:rsid w:val="0077395D"/>
    <w:rsid w:val="00773A63"/>
    <w:rsid w:val="0077402C"/>
    <w:rsid w:val="007742A7"/>
    <w:rsid w:val="007742B8"/>
    <w:rsid w:val="007745EC"/>
    <w:rsid w:val="007747B9"/>
    <w:rsid w:val="0077489E"/>
    <w:rsid w:val="0077543E"/>
    <w:rsid w:val="007755F2"/>
    <w:rsid w:val="007759E3"/>
    <w:rsid w:val="007763B0"/>
    <w:rsid w:val="00776971"/>
    <w:rsid w:val="00776978"/>
    <w:rsid w:val="00776C23"/>
    <w:rsid w:val="007775F9"/>
    <w:rsid w:val="00777A49"/>
    <w:rsid w:val="00777D91"/>
    <w:rsid w:val="0078004A"/>
    <w:rsid w:val="00780B22"/>
    <w:rsid w:val="00780E01"/>
    <w:rsid w:val="00781048"/>
    <w:rsid w:val="0078121E"/>
    <w:rsid w:val="00781295"/>
    <w:rsid w:val="0078177E"/>
    <w:rsid w:val="0078246A"/>
    <w:rsid w:val="007826D5"/>
    <w:rsid w:val="00782BE5"/>
    <w:rsid w:val="00783030"/>
    <w:rsid w:val="0078304C"/>
    <w:rsid w:val="007834A6"/>
    <w:rsid w:val="00783652"/>
    <w:rsid w:val="00783673"/>
    <w:rsid w:val="00784042"/>
    <w:rsid w:val="00784D03"/>
    <w:rsid w:val="00785158"/>
    <w:rsid w:val="00785490"/>
    <w:rsid w:val="00785A8F"/>
    <w:rsid w:val="007862AB"/>
    <w:rsid w:val="00786432"/>
    <w:rsid w:val="00786A87"/>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825"/>
    <w:rsid w:val="00795C92"/>
    <w:rsid w:val="00796231"/>
    <w:rsid w:val="00796E9F"/>
    <w:rsid w:val="00796F81"/>
    <w:rsid w:val="0079717F"/>
    <w:rsid w:val="00797341"/>
    <w:rsid w:val="00797AAE"/>
    <w:rsid w:val="00797BC1"/>
    <w:rsid w:val="00797CFF"/>
    <w:rsid w:val="007A0933"/>
    <w:rsid w:val="007A18EE"/>
    <w:rsid w:val="007A1CB3"/>
    <w:rsid w:val="007A27D5"/>
    <w:rsid w:val="007A2986"/>
    <w:rsid w:val="007A29DF"/>
    <w:rsid w:val="007A2C12"/>
    <w:rsid w:val="007A306F"/>
    <w:rsid w:val="007A3BA1"/>
    <w:rsid w:val="007A41E3"/>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E7C"/>
    <w:rsid w:val="007B0F9D"/>
    <w:rsid w:val="007B15F3"/>
    <w:rsid w:val="007B18BA"/>
    <w:rsid w:val="007B1951"/>
    <w:rsid w:val="007B21C7"/>
    <w:rsid w:val="007B2340"/>
    <w:rsid w:val="007B2410"/>
    <w:rsid w:val="007B25B0"/>
    <w:rsid w:val="007B2985"/>
    <w:rsid w:val="007B31D7"/>
    <w:rsid w:val="007B3D2D"/>
    <w:rsid w:val="007B4088"/>
    <w:rsid w:val="007B467C"/>
    <w:rsid w:val="007B4B12"/>
    <w:rsid w:val="007B4CC0"/>
    <w:rsid w:val="007B4FE9"/>
    <w:rsid w:val="007B50AE"/>
    <w:rsid w:val="007B5158"/>
    <w:rsid w:val="007B51DF"/>
    <w:rsid w:val="007B51F4"/>
    <w:rsid w:val="007B5262"/>
    <w:rsid w:val="007B55E7"/>
    <w:rsid w:val="007B564D"/>
    <w:rsid w:val="007B5980"/>
    <w:rsid w:val="007B6A1D"/>
    <w:rsid w:val="007B6F74"/>
    <w:rsid w:val="007B7126"/>
    <w:rsid w:val="007B7452"/>
    <w:rsid w:val="007C04F7"/>
    <w:rsid w:val="007C05DD"/>
    <w:rsid w:val="007C065C"/>
    <w:rsid w:val="007C0787"/>
    <w:rsid w:val="007C14F1"/>
    <w:rsid w:val="007C1762"/>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2E5"/>
    <w:rsid w:val="007D1BA7"/>
    <w:rsid w:val="007D2097"/>
    <w:rsid w:val="007D2579"/>
    <w:rsid w:val="007D25B7"/>
    <w:rsid w:val="007D279F"/>
    <w:rsid w:val="007D3918"/>
    <w:rsid w:val="007D3FB3"/>
    <w:rsid w:val="007D41BD"/>
    <w:rsid w:val="007D44C5"/>
    <w:rsid w:val="007D44CF"/>
    <w:rsid w:val="007D4CBB"/>
    <w:rsid w:val="007D4FDE"/>
    <w:rsid w:val="007D55DA"/>
    <w:rsid w:val="007D5901"/>
    <w:rsid w:val="007D5EEE"/>
    <w:rsid w:val="007D65F1"/>
    <w:rsid w:val="007D6848"/>
    <w:rsid w:val="007D69A2"/>
    <w:rsid w:val="007D6AE3"/>
    <w:rsid w:val="007D6E0D"/>
    <w:rsid w:val="007D7526"/>
    <w:rsid w:val="007D76E5"/>
    <w:rsid w:val="007D7A74"/>
    <w:rsid w:val="007E00CE"/>
    <w:rsid w:val="007E0125"/>
    <w:rsid w:val="007E0381"/>
    <w:rsid w:val="007E03B4"/>
    <w:rsid w:val="007E064A"/>
    <w:rsid w:val="007E0BEC"/>
    <w:rsid w:val="007E0EAB"/>
    <w:rsid w:val="007E1521"/>
    <w:rsid w:val="007E161A"/>
    <w:rsid w:val="007E17DE"/>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3F1"/>
    <w:rsid w:val="007E7485"/>
    <w:rsid w:val="007E7DF6"/>
    <w:rsid w:val="007E7E4B"/>
    <w:rsid w:val="007E7FE0"/>
    <w:rsid w:val="007E7FFC"/>
    <w:rsid w:val="007F0064"/>
    <w:rsid w:val="007F024F"/>
    <w:rsid w:val="007F062C"/>
    <w:rsid w:val="007F06DB"/>
    <w:rsid w:val="007F0760"/>
    <w:rsid w:val="007F1409"/>
    <w:rsid w:val="007F14BE"/>
    <w:rsid w:val="007F1686"/>
    <w:rsid w:val="007F19C0"/>
    <w:rsid w:val="007F1B2D"/>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372"/>
    <w:rsid w:val="007F4C41"/>
    <w:rsid w:val="007F4EB1"/>
    <w:rsid w:val="007F6327"/>
    <w:rsid w:val="007F68C2"/>
    <w:rsid w:val="007F6A42"/>
    <w:rsid w:val="007F6C58"/>
    <w:rsid w:val="007F6E6A"/>
    <w:rsid w:val="007F6FAF"/>
    <w:rsid w:val="007F70D0"/>
    <w:rsid w:val="008005BA"/>
    <w:rsid w:val="00800B2D"/>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302"/>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02E4"/>
    <w:rsid w:val="0081185D"/>
    <w:rsid w:val="00811FCB"/>
    <w:rsid w:val="008120AF"/>
    <w:rsid w:val="008120CD"/>
    <w:rsid w:val="008124DF"/>
    <w:rsid w:val="0081276A"/>
    <w:rsid w:val="0081358C"/>
    <w:rsid w:val="00813646"/>
    <w:rsid w:val="00813BB4"/>
    <w:rsid w:val="00813C42"/>
    <w:rsid w:val="00814162"/>
    <w:rsid w:val="008143D1"/>
    <w:rsid w:val="0081473F"/>
    <w:rsid w:val="008148A0"/>
    <w:rsid w:val="00814DE1"/>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4E8"/>
    <w:rsid w:val="0082080A"/>
    <w:rsid w:val="008211AF"/>
    <w:rsid w:val="0082122D"/>
    <w:rsid w:val="0082131F"/>
    <w:rsid w:val="008219E9"/>
    <w:rsid w:val="00821FCE"/>
    <w:rsid w:val="00822147"/>
    <w:rsid w:val="008222E2"/>
    <w:rsid w:val="00822639"/>
    <w:rsid w:val="00822D74"/>
    <w:rsid w:val="00822EBA"/>
    <w:rsid w:val="008235DB"/>
    <w:rsid w:val="00823C42"/>
    <w:rsid w:val="00823CFC"/>
    <w:rsid w:val="00823E6A"/>
    <w:rsid w:val="008241C1"/>
    <w:rsid w:val="00824264"/>
    <w:rsid w:val="00824AB4"/>
    <w:rsid w:val="00824B4B"/>
    <w:rsid w:val="00824C82"/>
    <w:rsid w:val="00824EAC"/>
    <w:rsid w:val="00825238"/>
    <w:rsid w:val="008252B4"/>
    <w:rsid w:val="0082599B"/>
    <w:rsid w:val="00825C42"/>
    <w:rsid w:val="00825D25"/>
    <w:rsid w:val="00825DD2"/>
    <w:rsid w:val="008266D6"/>
    <w:rsid w:val="00826B52"/>
    <w:rsid w:val="00826CFE"/>
    <w:rsid w:val="00826F8B"/>
    <w:rsid w:val="008270B3"/>
    <w:rsid w:val="008274D9"/>
    <w:rsid w:val="008277F6"/>
    <w:rsid w:val="00827D6F"/>
    <w:rsid w:val="00830388"/>
    <w:rsid w:val="008309B3"/>
    <w:rsid w:val="008314AE"/>
    <w:rsid w:val="008315A3"/>
    <w:rsid w:val="008315DE"/>
    <w:rsid w:val="00831999"/>
    <w:rsid w:val="00831BF6"/>
    <w:rsid w:val="00832087"/>
    <w:rsid w:val="008324B5"/>
    <w:rsid w:val="00832E8A"/>
    <w:rsid w:val="0083364C"/>
    <w:rsid w:val="00833B16"/>
    <w:rsid w:val="00833BC2"/>
    <w:rsid w:val="00833D8B"/>
    <w:rsid w:val="00833E11"/>
    <w:rsid w:val="00833F3F"/>
    <w:rsid w:val="0083457C"/>
    <w:rsid w:val="00834800"/>
    <w:rsid w:val="00834CB8"/>
    <w:rsid w:val="00834F36"/>
    <w:rsid w:val="00835491"/>
    <w:rsid w:val="008355CE"/>
    <w:rsid w:val="0083697F"/>
    <w:rsid w:val="00836A23"/>
    <w:rsid w:val="008376AC"/>
    <w:rsid w:val="00837FC8"/>
    <w:rsid w:val="0084028A"/>
    <w:rsid w:val="008405A2"/>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9C5"/>
    <w:rsid w:val="00844C05"/>
    <w:rsid w:val="00844E80"/>
    <w:rsid w:val="00844F00"/>
    <w:rsid w:val="0084574E"/>
    <w:rsid w:val="00845AC6"/>
    <w:rsid w:val="00845DA6"/>
    <w:rsid w:val="00845F74"/>
    <w:rsid w:val="00846B00"/>
    <w:rsid w:val="00846C3F"/>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3DAC"/>
    <w:rsid w:val="008543FA"/>
    <w:rsid w:val="008544F2"/>
    <w:rsid w:val="00855646"/>
    <w:rsid w:val="0085573C"/>
    <w:rsid w:val="00855ABB"/>
    <w:rsid w:val="00855AC3"/>
    <w:rsid w:val="00855EBD"/>
    <w:rsid w:val="00856127"/>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861"/>
    <w:rsid w:val="00870D7F"/>
    <w:rsid w:val="00870DE3"/>
    <w:rsid w:val="00870DE8"/>
    <w:rsid w:val="00870F8A"/>
    <w:rsid w:val="00870FF3"/>
    <w:rsid w:val="0087154C"/>
    <w:rsid w:val="008719A4"/>
    <w:rsid w:val="00871AA4"/>
    <w:rsid w:val="00871BAF"/>
    <w:rsid w:val="00871D23"/>
    <w:rsid w:val="0087268D"/>
    <w:rsid w:val="00872A01"/>
    <w:rsid w:val="008732EB"/>
    <w:rsid w:val="0087341E"/>
    <w:rsid w:val="008735EB"/>
    <w:rsid w:val="00873634"/>
    <w:rsid w:val="008742DA"/>
    <w:rsid w:val="00874312"/>
    <w:rsid w:val="0087437C"/>
    <w:rsid w:val="00874E2E"/>
    <w:rsid w:val="00874E5F"/>
    <w:rsid w:val="00874E7F"/>
    <w:rsid w:val="00875261"/>
    <w:rsid w:val="00875499"/>
    <w:rsid w:val="00875CD7"/>
    <w:rsid w:val="00875E0C"/>
    <w:rsid w:val="00876387"/>
    <w:rsid w:val="00876586"/>
    <w:rsid w:val="008766CC"/>
    <w:rsid w:val="00876720"/>
    <w:rsid w:val="00876772"/>
    <w:rsid w:val="00876B4D"/>
    <w:rsid w:val="008773BB"/>
    <w:rsid w:val="00877A18"/>
    <w:rsid w:val="00877B91"/>
    <w:rsid w:val="00877F18"/>
    <w:rsid w:val="008800D9"/>
    <w:rsid w:val="0088095D"/>
    <w:rsid w:val="00880D5E"/>
    <w:rsid w:val="00881C3C"/>
    <w:rsid w:val="00881E2D"/>
    <w:rsid w:val="0088201E"/>
    <w:rsid w:val="00882299"/>
    <w:rsid w:val="00882709"/>
    <w:rsid w:val="00882D65"/>
    <w:rsid w:val="00882E5B"/>
    <w:rsid w:val="008830D7"/>
    <w:rsid w:val="0088330C"/>
    <w:rsid w:val="00884491"/>
    <w:rsid w:val="00885B61"/>
    <w:rsid w:val="00885E35"/>
    <w:rsid w:val="008863D2"/>
    <w:rsid w:val="008865DA"/>
    <w:rsid w:val="0088743E"/>
    <w:rsid w:val="0089024D"/>
    <w:rsid w:val="008907E0"/>
    <w:rsid w:val="00890D76"/>
    <w:rsid w:val="00890D9F"/>
    <w:rsid w:val="00890E63"/>
    <w:rsid w:val="00891379"/>
    <w:rsid w:val="00891B1E"/>
    <w:rsid w:val="00892FCA"/>
    <w:rsid w:val="008933C5"/>
    <w:rsid w:val="00893422"/>
    <w:rsid w:val="008934F0"/>
    <w:rsid w:val="008936B7"/>
    <w:rsid w:val="008937E9"/>
    <w:rsid w:val="008939C6"/>
    <w:rsid w:val="00893E63"/>
    <w:rsid w:val="00894743"/>
    <w:rsid w:val="00894A88"/>
    <w:rsid w:val="00894DB9"/>
    <w:rsid w:val="00894F80"/>
    <w:rsid w:val="00894FA0"/>
    <w:rsid w:val="00895030"/>
    <w:rsid w:val="0089531B"/>
    <w:rsid w:val="00895386"/>
    <w:rsid w:val="0089599B"/>
    <w:rsid w:val="00896080"/>
    <w:rsid w:val="00896130"/>
    <w:rsid w:val="008968D3"/>
    <w:rsid w:val="0089722A"/>
    <w:rsid w:val="008975FB"/>
    <w:rsid w:val="008A0554"/>
    <w:rsid w:val="008A0555"/>
    <w:rsid w:val="008A06EF"/>
    <w:rsid w:val="008A0882"/>
    <w:rsid w:val="008A1126"/>
    <w:rsid w:val="008A21FF"/>
    <w:rsid w:val="008A226A"/>
    <w:rsid w:val="008A23A8"/>
    <w:rsid w:val="008A2A9B"/>
    <w:rsid w:val="008A2B95"/>
    <w:rsid w:val="008A2CE2"/>
    <w:rsid w:val="008A2FC8"/>
    <w:rsid w:val="008A30AC"/>
    <w:rsid w:val="008A314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497"/>
    <w:rsid w:val="008B14B7"/>
    <w:rsid w:val="008B15B2"/>
    <w:rsid w:val="008B1D5A"/>
    <w:rsid w:val="008B20C2"/>
    <w:rsid w:val="008B22AC"/>
    <w:rsid w:val="008B2795"/>
    <w:rsid w:val="008B28C1"/>
    <w:rsid w:val="008B292C"/>
    <w:rsid w:val="008B34FC"/>
    <w:rsid w:val="008B3C71"/>
    <w:rsid w:val="008B3DD7"/>
    <w:rsid w:val="008B43E1"/>
    <w:rsid w:val="008B4529"/>
    <w:rsid w:val="008B47C7"/>
    <w:rsid w:val="008B4EA9"/>
    <w:rsid w:val="008B51A0"/>
    <w:rsid w:val="008B525B"/>
    <w:rsid w:val="008B5328"/>
    <w:rsid w:val="008B58DA"/>
    <w:rsid w:val="008B592A"/>
    <w:rsid w:val="008B5FDF"/>
    <w:rsid w:val="008B6577"/>
    <w:rsid w:val="008B6BD2"/>
    <w:rsid w:val="008B6BEC"/>
    <w:rsid w:val="008B6C03"/>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8C9"/>
    <w:rsid w:val="008D39D8"/>
    <w:rsid w:val="008D3A9C"/>
    <w:rsid w:val="008D3BE3"/>
    <w:rsid w:val="008D438F"/>
    <w:rsid w:val="008D4391"/>
    <w:rsid w:val="008D43B9"/>
    <w:rsid w:val="008D4A68"/>
    <w:rsid w:val="008D4E78"/>
    <w:rsid w:val="008D4ED2"/>
    <w:rsid w:val="008D575F"/>
    <w:rsid w:val="008D5E89"/>
    <w:rsid w:val="008D5FA7"/>
    <w:rsid w:val="008D6A97"/>
    <w:rsid w:val="008D6BC9"/>
    <w:rsid w:val="008D6D1A"/>
    <w:rsid w:val="008D6FAC"/>
    <w:rsid w:val="008D6FB7"/>
    <w:rsid w:val="008D6FD6"/>
    <w:rsid w:val="008D73F4"/>
    <w:rsid w:val="008D748E"/>
    <w:rsid w:val="008D78A8"/>
    <w:rsid w:val="008D7C4F"/>
    <w:rsid w:val="008D7D4C"/>
    <w:rsid w:val="008E03A9"/>
    <w:rsid w:val="008E065E"/>
    <w:rsid w:val="008E0927"/>
    <w:rsid w:val="008E1163"/>
    <w:rsid w:val="008E11CA"/>
    <w:rsid w:val="008E11D3"/>
    <w:rsid w:val="008E1508"/>
    <w:rsid w:val="008E1909"/>
    <w:rsid w:val="008E1DDB"/>
    <w:rsid w:val="008E1EA2"/>
    <w:rsid w:val="008E221B"/>
    <w:rsid w:val="008E2355"/>
    <w:rsid w:val="008E256B"/>
    <w:rsid w:val="008E3030"/>
    <w:rsid w:val="008E304A"/>
    <w:rsid w:val="008E38AE"/>
    <w:rsid w:val="008E3A3E"/>
    <w:rsid w:val="008E3BF4"/>
    <w:rsid w:val="008E4B89"/>
    <w:rsid w:val="008E5111"/>
    <w:rsid w:val="008E539F"/>
    <w:rsid w:val="008E53F3"/>
    <w:rsid w:val="008E6078"/>
    <w:rsid w:val="008E6654"/>
    <w:rsid w:val="008E69F1"/>
    <w:rsid w:val="008E6B25"/>
    <w:rsid w:val="008E6D1C"/>
    <w:rsid w:val="008E6E64"/>
    <w:rsid w:val="008E74F2"/>
    <w:rsid w:val="008E75A9"/>
    <w:rsid w:val="008E7E14"/>
    <w:rsid w:val="008E7F76"/>
    <w:rsid w:val="008E7FF5"/>
    <w:rsid w:val="008F03CE"/>
    <w:rsid w:val="008F0667"/>
    <w:rsid w:val="008F14FD"/>
    <w:rsid w:val="008F1C1C"/>
    <w:rsid w:val="008F1EAB"/>
    <w:rsid w:val="008F1FAB"/>
    <w:rsid w:val="008F269E"/>
    <w:rsid w:val="008F27CF"/>
    <w:rsid w:val="008F2A8F"/>
    <w:rsid w:val="008F3080"/>
    <w:rsid w:val="008F33DC"/>
    <w:rsid w:val="008F4318"/>
    <w:rsid w:val="008F477F"/>
    <w:rsid w:val="008F4F61"/>
    <w:rsid w:val="008F5276"/>
    <w:rsid w:val="008F532C"/>
    <w:rsid w:val="008F546E"/>
    <w:rsid w:val="008F5957"/>
    <w:rsid w:val="008F60C6"/>
    <w:rsid w:val="008F69FC"/>
    <w:rsid w:val="008F6DBD"/>
    <w:rsid w:val="008F73B7"/>
    <w:rsid w:val="008F7468"/>
    <w:rsid w:val="008F7645"/>
    <w:rsid w:val="008F7A0C"/>
    <w:rsid w:val="00900214"/>
    <w:rsid w:val="0090021C"/>
    <w:rsid w:val="009002D1"/>
    <w:rsid w:val="009006E2"/>
    <w:rsid w:val="009009C4"/>
    <w:rsid w:val="00900C4E"/>
    <w:rsid w:val="00900CD0"/>
    <w:rsid w:val="00900CD8"/>
    <w:rsid w:val="0090133E"/>
    <w:rsid w:val="00901505"/>
    <w:rsid w:val="009018C9"/>
    <w:rsid w:val="00902350"/>
    <w:rsid w:val="0090336B"/>
    <w:rsid w:val="00903997"/>
    <w:rsid w:val="00903A40"/>
    <w:rsid w:val="00903CC5"/>
    <w:rsid w:val="00903D98"/>
    <w:rsid w:val="00904524"/>
    <w:rsid w:val="0090471F"/>
    <w:rsid w:val="00904981"/>
    <w:rsid w:val="00904A8B"/>
    <w:rsid w:val="00904BDF"/>
    <w:rsid w:val="009053AA"/>
    <w:rsid w:val="00905FE9"/>
    <w:rsid w:val="0090647B"/>
    <w:rsid w:val="00906939"/>
    <w:rsid w:val="00906B09"/>
    <w:rsid w:val="00907067"/>
    <w:rsid w:val="0090706B"/>
    <w:rsid w:val="009074E3"/>
    <w:rsid w:val="00907C0A"/>
    <w:rsid w:val="00907D94"/>
    <w:rsid w:val="00907F5D"/>
    <w:rsid w:val="009100A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17E97"/>
    <w:rsid w:val="00920BF2"/>
    <w:rsid w:val="00920E27"/>
    <w:rsid w:val="00921111"/>
    <w:rsid w:val="00921925"/>
    <w:rsid w:val="00921E3C"/>
    <w:rsid w:val="00921F09"/>
    <w:rsid w:val="00922010"/>
    <w:rsid w:val="0092222C"/>
    <w:rsid w:val="00922338"/>
    <w:rsid w:val="0092271E"/>
    <w:rsid w:val="0092275D"/>
    <w:rsid w:val="00923310"/>
    <w:rsid w:val="009233DA"/>
    <w:rsid w:val="00923A5A"/>
    <w:rsid w:val="00923DC4"/>
    <w:rsid w:val="00923E51"/>
    <w:rsid w:val="00923FE6"/>
    <w:rsid w:val="0092400B"/>
    <w:rsid w:val="00924347"/>
    <w:rsid w:val="009247D8"/>
    <w:rsid w:val="00924C54"/>
    <w:rsid w:val="00924CE2"/>
    <w:rsid w:val="009250D1"/>
    <w:rsid w:val="00925441"/>
    <w:rsid w:val="009257D8"/>
    <w:rsid w:val="00925B8E"/>
    <w:rsid w:val="00925D04"/>
    <w:rsid w:val="00926264"/>
    <w:rsid w:val="00926458"/>
    <w:rsid w:val="009264F1"/>
    <w:rsid w:val="009269F6"/>
    <w:rsid w:val="00926EB6"/>
    <w:rsid w:val="0092767E"/>
    <w:rsid w:val="0093068D"/>
    <w:rsid w:val="00930A21"/>
    <w:rsid w:val="00930E6E"/>
    <w:rsid w:val="00931BD9"/>
    <w:rsid w:val="009320C1"/>
    <w:rsid w:val="00932DB4"/>
    <w:rsid w:val="00933227"/>
    <w:rsid w:val="00933711"/>
    <w:rsid w:val="00933853"/>
    <w:rsid w:val="0093432F"/>
    <w:rsid w:val="00934421"/>
    <w:rsid w:val="009347A2"/>
    <w:rsid w:val="009348FA"/>
    <w:rsid w:val="00934A7E"/>
    <w:rsid w:val="00934C05"/>
    <w:rsid w:val="00934D04"/>
    <w:rsid w:val="00935360"/>
    <w:rsid w:val="009357BF"/>
    <w:rsid w:val="009358AB"/>
    <w:rsid w:val="00935CAF"/>
    <w:rsid w:val="0093602F"/>
    <w:rsid w:val="0093642D"/>
    <w:rsid w:val="009366C1"/>
    <w:rsid w:val="009368F3"/>
    <w:rsid w:val="009371D5"/>
    <w:rsid w:val="0093729D"/>
    <w:rsid w:val="00937B30"/>
    <w:rsid w:val="00937B71"/>
    <w:rsid w:val="00937E2F"/>
    <w:rsid w:val="00937F06"/>
    <w:rsid w:val="00937FE4"/>
    <w:rsid w:val="00940C83"/>
    <w:rsid w:val="00941158"/>
    <w:rsid w:val="00941239"/>
    <w:rsid w:val="00941559"/>
    <w:rsid w:val="00941636"/>
    <w:rsid w:val="009425BB"/>
    <w:rsid w:val="009425EB"/>
    <w:rsid w:val="0094285E"/>
    <w:rsid w:val="009429A6"/>
    <w:rsid w:val="00942C72"/>
    <w:rsid w:val="00942D9D"/>
    <w:rsid w:val="00943742"/>
    <w:rsid w:val="00944688"/>
    <w:rsid w:val="009447C3"/>
    <w:rsid w:val="009449A7"/>
    <w:rsid w:val="0094568D"/>
    <w:rsid w:val="00945901"/>
    <w:rsid w:val="00945BF0"/>
    <w:rsid w:val="00945C05"/>
    <w:rsid w:val="0094608C"/>
    <w:rsid w:val="00946737"/>
    <w:rsid w:val="00946945"/>
    <w:rsid w:val="00946E3B"/>
    <w:rsid w:val="00947070"/>
    <w:rsid w:val="00947713"/>
    <w:rsid w:val="00947F9C"/>
    <w:rsid w:val="00950024"/>
    <w:rsid w:val="009501B7"/>
    <w:rsid w:val="00950CAD"/>
    <w:rsid w:val="00950DC7"/>
    <w:rsid w:val="00950DE7"/>
    <w:rsid w:val="00950E54"/>
    <w:rsid w:val="00951240"/>
    <w:rsid w:val="00951336"/>
    <w:rsid w:val="00952AA4"/>
    <w:rsid w:val="00952B0A"/>
    <w:rsid w:val="00952E08"/>
    <w:rsid w:val="00953920"/>
    <w:rsid w:val="00953D47"/>
    <w:rsid w:val="00953D73"/>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574F0"/>
    <w:rsid w:val="00960740"/>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879"/>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74E"/>
    <w:rsid w:val="00971F08"/>
    <w:rsid w:val="009723B5"/>
    <w:rsid w:val="00972943"/>
    <w:rsid w:val="00972A4F"/>
    <w:rsid w:val="00972AD5"/>
    <w:rsid w:val="00972C36"/>
    <w:rsid w:val="00972C43"/>
    <w:rsid w:val="00972C91"/>
    <w:rsid w:val="009731D8"/>
    <w:rsid w:val="00973AA4"/>
    <w:rsid w:val="00973AC1"/>
    <w:rsid w:val="00973D04"/>
    <w:rsid w:val="009741B9"/>
    <w:rsid w:val="009747BB"/>
    <w:rsid w:val="0097497B"/>
    <w:rsid w:val="0097571A"/>
    <w:rsid w:val="00975A99"/>
    <w:rsid w:val="00975F4F"/>
    <w:rsid w:val="0097603D"/>
    <w:rsid w:val="00976143"/>
    <w:rsid w:val="0097614B"/>
    <w:rsid w:val="00976949"/>
    <w:rsid w:val="00976A44"/>
    <w:rsid w:val="0097706A"/>
    <w:rsid w:val="0097726F"/>
    <w:rsid w:val="00977294"/>
    <w:rsid w:val="009773DA"/>
    <w:rsid w:val="00977A7A"/>
    <w:rsid w:val="0098027B"/>
    <w:rsid w:val="00980477"/>
    <w:rsid w:val="009805C3"/>
    <w:rsid w:val="009809ED"/>
    <w:rsid w:val="00980AED"/>
    <w:rsid w:val="00981306"/>
    <w:rsid w:val="00981792"/>
    <w:rsid w:val="0098180D"/>
    <w:rsid w:val="00982F12"/>
    <w:rsid w:val="00982F3D"/>
    <w:rsid w:val="00982FF9"/>
    <w:rsid w:val="009831D4"/>
    <w:rsid w:val="009833B6"/>
    <w:rsid w:val="00983502"/>
    <w:rsid w:val="0098387E"/>
    <w:rsid w:val="00983E66"/>
    <w:rsid w:val="00983F03"/>
    <w:rsid w:val="00984F6B"/>
    <w:rsid w:val="00985136"/>
    <w:rsid w:val="00985191"/>
    <w:rsid w:val="00985253"/>
    <w:rsid w:val="009853B3"/>
    <w:rsid w:val="0098568D"/>
    <w:rsid w:val="00985AB4"/>
    <w:rsid w:val="0098635E"/>
    <w:rsid w:val="009865ED"/>
    <w:rsid w:val="00986BB2"/>
    <w:rsid w:val="00986C3A"/>
    <w:rsid w:val="00986E5B"/>
    <w:rsid w:val="00986FF4"/>
    <w:rsid w:val="009878A9"/>
    <w:rsid w:val="009879E4"/>
    <w:rsid w:val="0099020F"/>
    <w:rsid w:val="009903BE"/>
    <w:rsid w:val="009904BF"/>
    <w:rsid w:val="009905B5"/>
    <w:rsid w:val="00990628"/>
    <w:rsid w:val="00990630"/>
    <w:rsid w:val="009907F1"/>
    <w:rsid w:val="00990C13"/>
    <w:rsid w:val="0099113B"/>
    <w:rsid w:val="009911D2"/>
    <w:rsid w:val="009912DA"/>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439"/>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1F3D"/>
    <w:rsid w:val="009B2564"/>
    <w:rsid w:val="009B26B8"/>
    <w:rsid w:val="009B2D33"/>
    <w:rsid w:val="009B32BA"/>
    <w:rsid w:val="009B3485"/>
    <w:rsid w:val="009B3AC2"/>
    <w:rsid w:val="009B4DF4"/>
    <w:rsid w:val="009B4EE0"/>
    <w:rsid w:val="009B522F"/>
    <w:rsid w:val="009B5556"/>
    <w:rsid w:val="009B564E"/>
    <w:rsid w:val="009B5691"/>
    <w:rsid w:val="009B5C17"/>
    <w:rsid w:val="009B6885"/>
    <w:rsid w:val="009B6A21"/>
    <w:rsid w:val="009B6D6D"/>
    <w:rsid w:val="009B7221"/>
    <w:rsid w:val="009B7589"/>
    <w:rsid w:val="009B7777"/>
    <w:rsid w:val="009B7B92"/>
    <w:rsid w:val="009B7E87"/>
    <w:rsid w:val="009C059F"/>
    <w:rsid w:val="009C05FE"/>
    <w:rsid w:val="009C0967"/>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319"/>
    <w:rsid w:val="009C4495"/>
    <w:rsid w:val="009C4FA8"/>
    <w:rsid w:val="009C5727"/>
    <w:rsid w:val="009C5FCB"/>
    <w:rsid w:val="009C613F"/>
    <w:rsid w:val="009C72F7"/>
    <w:rsid w:val="009C7FC4"/>
    <w:rsid w:val="009D03E6"/>
    <w:rsid w:val="009D0FC2"/>
    <w:rsid w:val="009D114D"/>
    <w:rsid w:val="009D11B2"/>
    <w:rsid w:val="009D1882"/>
    <w:rsid w:val="009D188E"/>
    <w:rsid w:val="009D2050"/>
    <w:rsid w:val="009D2310"/>
    <w:rsid w:val="009D256A"/>
    <w:rsid w:val="009D2C8A"/>
    <w:rsid w:val="009D31F8"/>
    <w:rsid w:val="009D327F"/>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6EC"/>
    <w:rsid w:val="009D79BF"/>
    <w:rsid w:val="009D7A22"/>
    <w:rsid w:val="009D7B84"/>
    <w:rsid w:val="009D7B93"/>
    <w:rsid w:val="009E035B"/>
    <w:rsid w:val="009E068F"/>
    <w:rsid w:val="009E0EB5"/>
    <w:rsid w:val="009E14E0"/>
    <w:rsid w:val="009E1624"/>
    <w:rsid w:val="009E1727"/>
    <w:rsid w:val="009E24AC"/>
    <w:rsid w:val="009E2EA1"/>
    <w:rsid w:val="009E35DB"/>
    <w:rsid w:val="009E37FD"/>
    <w:rsid w:val="009E3902"/>
    <w:rsid w:val="009E3EB1"/>
    <w:rsid w:val="009E4130"/>
    <w:rsid w:val="009E423B"/>
    <w:rsid w:val="009E4499"/>
    <w:rsid w:val="009E47A3"/>
    <w:rsid w:val="009E490D"/>
    <w:rsid w:val="009E49D7"/>
    <w:rsid w:val="009E4AF6"/>
    <w:rsid w:val="009E5644"/>
    <w:rsid w:val="009E5976"/>
    <w:rsid w:val="009E5C8B"/>
    <w:rsid w:val="009E5F5E"/>
    <w:rsid w:val="009E613A"/>
    <w:rsid w:val="009E6AAF"/>
    <w:rsid w:val="009E7078"/>
    <w:rsid w:val="009E70CE"/>
    <w:rsid w:val="009E76EB"/>
    <w:rsid w:val="009E7830"/>
    <w:rsid w:val="009E7B59"/>
    <w:rsid w:val="009E7E02"/>
    <w:rsid w:val="009E7E52"/>
    <w:rsid w:val="009E7F6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7E0"/>
    <w:rsid w:val="009F4E68"/>
    <w:rsid w:val="009F5647"/>
    <w:rsid w:val="009F591D"/>
    <w:rsid w:val="009F5980"/>
    <w:rsid w:val="009F59E6"/>
    <w:rsid w:val="009F6525"/>
    <w:rsid w:val="009F6B85"/>
    <w:rsid w:val="009F6F68"/>
    <w:rsid w:val="009F76DE"/>
    <w:rsid w:val="009F7C98"/>
    <w:rsid w:val="009F7F4B"/>
    <w:rsid w:val="00A00357"/>
    <w:rsid w:val="00A00C52"/>
    <w:rsid w:val="00A01CF4"/>
    <w:rsid w:val="00A02304"/>
    <w:rsid w:val="00A025BC"/>
    <w:rsid w:val="00A025C2"/>
    <w:rsid w:val="00A027A8"/>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068"/>
    <w:rsid w:val="00A12163"/>
    <w:rsid w:val="00A123D9"/>
    <w:rsid w:val="00A12910"/>
    <w:rsid w:val="00A12979"/>
    <w:rsid w:val="00A13226"/>
    <w:rsid w:val="00A1325D"/>
    <w:rsid w:val="00A132D0"/>
    <w:rsid w:val="00A1380E"/>
    <w:rsid w:val="00A13C01"/>
    <w:rsid w:val="00A13E54"/>
    <w:rsid w:val="00A13E8E"/>
    <w:rsid w:val="00A13F1C"/>
    <w:rsid w:val="00A141D0"/>
    <w:rsid w:val="00A143D1"/>
    <w:rsid w:val="00A1469F"/>
    <w:rsid w:val="00A1484C"/>
    <w:rsid w:val="00A14EE9"/>
    <w:rsid w:val="00A1504F"/>
    <w:rsid w:val="00A15776"/>
    <w:rsid w:val="00A15B67"/>
    <w:rsid w:val="00A16253"/>
    <w:rsid w:val="00A167DF"/>
    <w:rsid w:val="00A16B39"/>
    <w:rsid w:val="00A16D93"/>
    <w:rsid w:val="00A170F2"/>
    <w:rsid w:val="00A1761B"/>
    <w:rsid w:val="00A17630"/>
    <w:rsid w:val="00A17CF7"/>
    <w:rsid w:val="00A17D9F"/>
    <w:rsid w:val="00A17F63"/>
    <w:rsid w:val="00A20646"/>
    <w:rsid w:val="00A20ED2"/>
    <w:rsid w:val="00A2158F"/>
    <w:rsid w:val="00A2193B"/>
    <w:rsid w:val="00A22107"/>
    <w:rsid w:val="00A221F2"/>
    <w:rsid w:val="00A223C8"/>
    <w:rsid w:val="00A2280A"/>
    <w:rsid w:val="00A230B1"/>
    <w:rsid w:val="00A2351A"/>
    <w:rsid w:val="00A236D0"/>
    <w:rsid w:val="00A238BC"/>
    <w:rsid w:val="00A23BEE"/>
    <w:rsid w:val="00A23BF9"/>
    <w:rsid w:val="00A2445F"/>
    <w:rsid w:val="00A24C53"/>
    <w:rsid w:val="00A24D4B"/>
    <w:rsid w:val="00A24E18"/>
    <w:rsid w:val="00A253DB"/>
    <w:rsid w:val="00A25594"/>
    <w:rsid w:val="00A264A9"/>
    <w:rsid w:val="00A26FB4"/>
    <w:rsid w:val="00A27785"/>
    <w:rsid w:val="00A27A7F"/>
    <w:rsid w:val="00A27DE8"/>
    <w:rsid w:val="00A27F93"/>
    <w:rsid w:val="00A30187"/>
    <w:rsid w:val="00A304C4"/>
    <w:rsid w:val="00A30588"/>
    <w:rsid w:val="00A30C0A"/>
    <w:rsid w:val="00A312E9"/>
    <w:rsid w:val="00A3188A"/>
    <w:rsid w:val="00A319CB"/>
    <w:rsid w:val="00A3237C"/>
    <w:rsid w:val="00A32589"/>
    <w:rsid w:val="00A32942"/>
    <w:rsid w:val="00A32A54"/>
    <w:rsid w:val="00A32BAA"/>
    <w:rsid w:val="00A32E11"/>
    <w:rsid w:val="00A3364D"/>
    <w:rsid w:val="00A33687"/>
    <w:rsid w:val="00A3398F"/>
    <w:rsid w:val="00A3448A"/>
    <w:rsid w:val="00A34C4A"/>
    <w:rsid w:val="00A3565D"/>
    <w:rsid w:val="00A36004"/>
    <w:rsid w:val="00A36297"/>
    <w:rsid w:val="00A367A0"/>
    <w:rsid w:val="00A36EAB"/>
    <w:rsid w:val="00A37096"/>
    <w:rsid w:val="00A37109"/>
    <w:rsid w:val="00A371F9"/>
    <w:rsid w:val="00A373EF"/>
    <w:rsid w:val="00A374AB"/>
    <w:rsid w:val="00A3751C"/>
    <w:rsid w:val="00A37927"/>
    <w:rsid w:val="00A37C67"/>
    <w:rsid w:val="00A40021"/>
    <w:rsid w:val="00A40228"/>
    <w:rsid w:val="00A407A0"/>
    <w:rsid w:val="00A40B3A"/>
    <w:rsid w:val="00A4130C"/>
    <w:rsid w:val="00A416EC"/>
    <w:rsid w:val="00A41CCB"/>
    <w:rsid w:val="00A41E2B"/>
    <w:rsid w:val="00A420B1"/>
    <w:rsid w:val="00A420D6"/>
    <w:rsid w:val="00A426EA"/>
    <w:rsid w:val="00A42927"/>
    <w:rsid w:val="00A42F85"/>
    <w:rsid w:val="00A434E7"/>
    <w:rsid w:val="00A438D3"/>
    <w:rsid w:val="00A43B5F"/>
    <w:rsid w:val="00A43ED6"/>
    <w:rsid w:val="00A442BB"/>
    <w:rsid w:val="00A444EE"/>
    <w:rsid w:val="00A4462E"/>
    <w:rsid w:val="00A448DA"/>
    <w:rsid w:val="00A44CCC"/>
    <w:rsid w:val="00A44EE7"/>
    <w:rsid w:val="00A4511A"/>
    <w:rsid w:val="00A45B10"/>
    <w:rsid w:val="00A45B74"/>
    <w:rsid w:val="00A45E74"/>
    <w:rsid w:val="00A4604E"/>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4FC"/>
    <w:rsid w:val="00A536B0"/>
    <w:rsid w:val="00A53879"/>
    <w:rsid w:val="00A53AB5"/>
    <w:rsid w:val="00A544EA"/>
    <w:rsid w:val="00A545B6"/>
    <w:rsid w:val="00A54B79"/>
    <w:rsid w:val="00A5546C"/>
    <w:rsid w:val="00A5567A"/>
    <w:rsid w:val="00A55BDE"/>
    <w:rsid w:val="00A56573"/>
    <w:rsid w:val="00A56700"/>
    <w:rsid w:val="00A5697F"/>
    <w:rsid w:val="00A56E08"/>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3DDF"/>
    <w:rsid w:val="00A6425C"/>
    <w:rsid w:val="00A64520"/>
    <w:rsid w:val="00A64643"/>
    <w:rsid w:val="00A64909"/>
    <w:rsid w:val="00A653A2"/>
    <w:rsid w:val="00A657D7"/>
    <w:rsid w:val="00A660A9"/>
    <w:rsid w:val="00A660AC"/>
    <w:rsid w:val="00A6670E"/>
    <w:rsid w:val="00A6688B"/>
    <w:rsid w:val="00A67342"/>
    <w:rsid w:val="00A67D0E"/>
    <w:rsid w:val="00A67D8B"/>
    <w:rsid w:val="00A67E6C"/>
    <w:rsid w:val="00A7028C"/>
    <w:rsid w:val="00A70544"/>
    <w:rsid w:val="00A70AA6"/>
    <w:rsid w:val="00A70C13"/>
    <w:rsid w:val="00A70FB4"/>
    <w:rsid w:val="00A71718"/>
    <w:rsid w:val="00A7192A"/>
    <w:rsid w:val="00A71B99"/>
    <w:rsid w:val="00A71E73"/>
    <w:rsid w:val="00A7235F"/>
    <w:rsid w:val="00A726A1"/>
    <w:rsid w:val="00A72C81"/>
    <w:rsid w:val="00A734B0"/>
    <w:rsid w:val="00A7398B"/>
    <w:rsid w:val="00A739D0"/>
    <w:rsid w:val="00A739FF"/>
    <w:rsid w:val="00A73C66"/>
    <w:rsid w:val="00A741FD"/>
    <w:rsid w:val="00A742F7"/>
    <w:rsid w:val="00A745AE"/>
    <w:rsid w:val="00A74D5D"/>
    <w:rsid w:val="00A754B7"/>
    <w:rsid w:val="00A75662"/>
    <w:rsid w:val="00A75712"/>
    <w:rsid w:val="00A761D4"/>
    <w:rsid w:val="00A7624B"/>
    <w:rsid w:val="00A7632A"/>
    <w:rsid w:val="00A76375"/>
    <w:rsid w:val="00A777A6"/>
    <w:rsid w:val="00A7798B"/>
    <w:rsid w:val="00A77EC4"/>
    <w:rsid w:val="00A801B5"/>
    <w:rsid w:val="00A809A7"/>
    <w:rsid w:val="00A80FEE"/>
    <w:rsid w:val="00A812D2"/>
    <w:rsid w:val="00A819A2"/>
    <w:rsid w:val="00A81D2F"/>
    <w:rsid w:val="00A823E0"/>
    <w:rsid w:val="00A8386C"/>
    <w:rsid w:val="00A83876"/>
    <w:rsid w:val="00A8413B"/>
    <w:rsid w:val="00A84493"/>
    <w:rsid w:val="00A84BFB"/>
    <w:rsid w:val="00A84EFF"/>
    <w:rsid w:val="00A8518B"/>
    <w:rsid w:val="00A855A3"/>
    <w:rsid w:val="00A868A8"/>
    <w:rsid w:val="00A86BB9"/>
    <w:rsid w:val="00A86BD4"/>
    <w:rsid w:val="00A8712D"/>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479A"/>
    <w:rsid w:val="00A96080"/>
    <w:rsid w:val="00A967F5"/>
    <w:rsid w:val="00A969EF"/>
    <w:rsid w:val="00A96BD5"/>
    <w:rsid w:val="00A975D8"/>
    <w:rsid w:val="00A97705"/>
    <w:rsid w:val="00AA016F"/>
    <w:rsid w:val="00AA0321"/>
    <w:rsid w:val="00AA0592"/>
    <w:rsid w:val="00AA0D8A"/>
    <w:rsid w:val="00AA0E7E"/>
    <w:rsid w:val="00AA0EC6"/>
    <w:rsid w:val="00AA1070"/>
    <w:rsid w:val="00AA1080"/>
    <w:rsid w:val="00AA1179"/>
    <w:rsid w:val="00AA1790"/>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690B"/>
    <w:rsid w:val="00AA6F44"/>
    <w:rsid w:val="00AA7070"/>
    <w:rsid w:val="00AA71FC"/>
    <w:rsid w:val="00AA724F"/>
    <w:rsid w:val="00AA7CD8"/>
    <w:rsid w:val="00AA7DE3"/>
    <w:rsid w:val="00AA7FDC"/>
    <w:rsid w:val="00AB024A"/>
    <w:rsid w:val="00AB0BC8"/>
    <w:rsid w:val="00AB103E"/>
    <w:rsid w:val="00AB11CA"/>
    <w:rsid w:val="00AB14D9"/>
    <w:rsid w:val="00AB1857"/>
    <w:rsid w:val="00AB2102"/>
    <w:rsid w:val="00AB27B5"/>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89"/>
    <w:rsid w:val="00AB7BD6"/>
    <w:rsid w:val="00AC007F"/>
    <w:rsid w:val="00AC021C"/>
    <w:rsid w:val="00AC02D8"/>
    <w:rsid w:val="00AC064F"/>
    <w:rsid w:val="00AC0690"/>
    <w:rsid w:val="00AC0900"/>
    <w:rsid w:val="00AC10E9"/>
    <w:rsid w:val="00AC130C"/>
    <w:rsid w:val="00AC1326"/>
    <w:rsid w:val="00AC167D"/>
    <w:rsid w:val="00AC1D8B"/>
    <w:rsid w:val="00AC2DF6"/>
    <w:rsid w:val="00AC2ECD"/>
    <w:rsid w:val="00AC3119"/>
    <w:rsid w:val="00AC3CBD"/>
    <w:rsid w:val="00AC3F87"/>
    <w:rsid w:val="00AC4786"/>
    <w:rsid w:val="00AC49FB"/>
    <w:rsid w:val="00AC4D1C"/>
    <w:rsid w:val="00AC4F66"/>
    <w:rsid w:val="00AC51D4"/>
    <w:rsid w:val="00AC5A10"/>
    <w:rsid w:val="00AC5E44"/>
    <w:rsid w:val="00AC6564"/>
    <w:rsid w:val="00AC6898"/>
    <w:rsid w:val="00AC6DAB"/>
    <w:rsid w:val="00AC7064"/>
    <w:rsid w:val="00AC715E"/>
    <w:rsid w:val="00AC7443"/>
    <w:rsid w:val="00AC7513"/>
    <w:rsid w:val="00AC7BD8"/>
    <w:rsid w:val="00AD0A66"/>
    <w:rsid w:val="00AD0AA3"/>
    <w:rsid w:val="00AD1B46"/>
    <w:rsid w:val="00AD1E1F"/>
    <w:rsid w:val="00AD22BB"/>
    <w:rsid w:val="00AD2E4E"/>
    <w:rsid w:val="00AD303E"/>
    <w:rsid w:val="00AD3757"/>
    <w:rsid w:val="00AD3D36"/>
    <w:rsid w:val="00AD3F94"/>
    <w:rsid w:val="00AD417E"/>
    <w:rsid w:val="00AD4366"/>
    <w:rsid w:val="00AD44B0"/>
    <w:rsid w:val="00AD47B4"/>
    <w:rsid w:val="00AD4A5A"/>
    <w:rsid w:val="00AD4E54"/>
    <w:rsid w:val="00AD5370"/>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6915"/>
    <w:rsid w:val="00AE71B5"/>
    <w:rsid w:val="00AE72D2"/>
    <w:rsid w:val="00AF01A6"/>
    <w:rsid w:val="00AF0205"/>
    <w:rsid w:val="00AF0871"/>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B12"/>
    <w:rsid w:val="00B05084"/>
    <w:rsid w:val="00B05112"/>
    <w:rsid w:val="00B052C6"/>
    <w:rsid w:val="00B052FD"/>
    <w:rsid w:val="00B05E5D"/>
    <w:rsid w:val="00B05EAF"/>
    <w:rsid w:val="00B062CC"/>
    <w:rsid w:val="00B06666"/>
    <w:rsid w:val="00B067B5"/>
    <w:rsid w:val="00B06951"/>
    <w:rsid w:val="00B07177"/>
    <w:rsid w:val="00B07A2E"/>
    <w:rsid w:val="00B07AE7"/>
    <w:rsid w:val="00B101D9"/>
    <w:rsid w:val="00B10516"/>
    <w:rsid w:val="00B109D5"/>
    <w:rsid w:val="00B109E0"/>
    <w:rsid w:val="00B10C9C"/>
    <w:rsid w:val="00B10CCE"/>
    <w:rsid w:val="00B114D8"/>
    <w:rsid w:val="00B11915"/>
    <w:rsid w:val="00B11EA6"/>
    <w:rsid w:val="00B12B37"/>
    <w:rsid w:val="00B136E3"/>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A4"/>
    <w:rsid w:val="00B20FF6"/>
    <w:rsid w:val="00B2124F"/>
    <w:rsid w:val="00B214DE"/>
    <w:rsid w:val="00B21774"/>
    <w:rsid w:val="00B21C48"/>
    <w:rsid w:val="00B22026"/>
    <w:rsid w:val="00B2269E"/>
    <w:rsid w:val="00B22AFC"/>
    <w:rsid w:val="00B22FC8"/>
    <w:rsid w:val="00B2344E"/>
    <w:rsid w:val="00B23703"/>
    <w:rsid w:val="00B2456B"/>
    <w:rsid w:val="00B249A7"/>
    <w:rsid w:val="00B24C7E"/>
    <w:rsid w:val="00B260F1"/>
    <w:rsid w:val="00B263F6"/>
    <w:rsid w:val="00B26416"/>
    <w:rsid w:val="00B26891"/>
    <w:rsid w:val="00B26981"/>
    <w:rsid w:val="00B26CB9"/>
    <w:rsid w:val="00B26D3B"/>
    <w:rsid w:val="00B26E40"/>
    <w:rsid w:val="00B271DC"/>
    <w:rsid w:val="00B272B9"/>
    <w:rsid w:val="00B272D3"/>
    <w:rsid w:val="00B27337"/>
    <w:rsid w:val="00B27387"/>
    <w:rsid w:val="00B2763F"/>
    <w:rsid w:val="00B27AAC"/>
    <w:rsid w:val="00B27D17"/>
    <w:rsid w:val="00B27D94"/>
    <w:rsid w:val="00B27DB4"/>
    <w:rsid w:val="00B30178"/>
    <w:rsid w:val="00B307B3"/>
    <w:rsid w:val="00B30929"/>
    <w:rsid w:val="00B31149"/>
    <w:rsid w:val="00B31C4A"/>
    <w:rsid w:val="00B325EC"/>
    <w:rsid w:val="00B32653"/>
    <w:rsid w:val="00B3292E"/>
    <w:rsid w:val="00B3346E"/>
    <w:rsid w:val="00B33A0A"/>
    <w:rsid w:val="00B34120"/>
    <w:rsid w:val="00B345B5"/>
    <w:rsid w:val="00B34C98"/>
    <w:rsid w:val="00B34D9F"/>
    <w:rsid w:val="00B34FD1"/>
    <w:rsid w:val="00B355E1"/>
    <w:rsid w:val="00B3592A"/>
    <w:rsid w:val="00B35EFD"/>
    <w:rsid w:val="00B368E9"/>
    <w:rsid w:val="00B372AA"/>
    <w:rsid w:val="00B374BF"/>
    <w:rsid w:val="00B377BD"/>
    <w:rsid w:val="00B37A31"/>
    <w:rsid w:val="00B37B6B"/>
    <w:rsid w:val="00B37BEC"/>
    <w:rsid w:val="00B40445"/>
    <w:rsid w:val="00B40766"/>
    <w:rsid w:val="00B40A8C"/>
    <w:rsid w:val="00B40BF8"/>
    <w:rsid w:val="00B40D76"/>
    <w:rsid w:val="00B40DA0"/>
    <w:rsid w:val="00B4102B"/>
    <w:rsid w:val="00B41888"/>
    <w:rsid w:val="00B418CD"/>
    <w:rsid w:val="00B41A75"/>
    <w:rsid w:val="00B41CC1"/>
    <w:rsid w:val="00B41EA3"/>
    <w:rsid w:val="00B42663"/>
    <w:rsid w:val="00B4271B"/>
    <w:rsid w:val="00B429CC"/>
    <w:rsid w:val="00B42DD4"/>
    <w:rsid w:val="00B43E2F"/>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67"/>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9F5"/>
    <w:rsid w:val="00B54B57"/>
    <w:rsid w:val="00B55438"/>
    <w:rsid w:val="00B55658"/>
    <w:rsid w:val="00B5567D"/>
    <w:rsid w:val="00B55809"/>
    <w:rsid w:val="00B5598A"/>
    <w:rsid w:val="00B55BC3"/>
    <w:rsid w:val="00B56384"/>
    <w:rsid w:val="00B60697"/>
    <w:rsid w:val="00B61877"/>
    <w:rsid w:val="00B619DF"/>
    <w:rsid w:val="00B6325C"/>
    <w:rsid w:val="00B634E6"/>
    <w:rsid w:val="00B63637"/>
    <w:rsid w:val="00B63B58"/>
    <w:rsid w:val="00B63B71"/>
    <w:rsid w:val="00B63D18"/>
    <w:rsid w:val="00B64194"/>
    <w:rsid w:val="00B643AB"/>
    <w:rsid w:val="00B649D6"/>
    <w:rsid w:val="00B64DF9"/>
    <w:rsid w:val="00B64E21"/>
    <w:rsid w:val="00B64F60"/>
    <w:rsid w:val="00B6539B"/>
    <w:rsid w:val="00B65410"/>
    <w:rsid w:val="00B65E2B"/>
    <w:rsid w:val="00B664C7"/>
    <w:rsid w:val="00B66BB9"/>
    <w:rsid w:val="00B66CA0"/>
    <w:rsid w:val="00B66FF2"/>
    <w:rsid w:val="00B67126"/>
    <w:rsid w:val="00B67753"/>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3F76"/>
    <w:rsid w:val="00B74B48"/>
    <w:rsid w:val="00B74C53"/>
    <w:rsid w:val="00B74D69"/>
    <w:rsid w:val="00B75197"/>
    <w:rsid w:val="00B751A7"/>
    <w:rsid w:val="00B752C1"/>
    <w:rsid w:val="00B752DA"/>
    <w:rsid w:val="00B755A4"/>
    <w:rsid w:val="00B75852"/>
    <w:rsid w:val="00B75C36"/>
    <w:rsid w:val="00B75CBB"/>
    <w:rsid w:val="00B76371"/>
    <w:rsid w:val="00B76DBE"/>
    <w:rsid w:val="00B7727B"/>
    <w:rsid w:val="00B777DE"/>
    <w:rsid w:val="00B77C13"/>
    <w:rsid w:val="00B80647"/>
    <w:rsid w:val="00B8070A"/>
    <w:rsid w:val="00B81A6C"/>
    <w:rsid w:val="00B81B65"/>
    <w:rsid w:val="00B81E93"/>
    <w:rsid w:val="00B81FA1"/>
    <w:rsid w:val="00B823FE"/>
    <w:rsid w:val="00B82428"/>
    <w:rsid w:val="00B82D1A"/>
    <w:rsid w:val="00B83051"/>
    <w:rsid w:val="00B84100"/>
    <w:rsid w:val="00B845F7"/>
    <w:rsid w:val="00B84F14"/>
    <w:rsid w:val="00B84FDC"/>
    <w:rsid w:val="00B85495"/>
    <w:rsid w:val="00B85584"/>
    <w:rsid w:val="00B85CBE"/>
    <w:rsid w:val="00B85DE5"/>
    <w:rsid w:val="00B86984"/>
    <w:rsid w:val="00B87B28"/>
    <w:rsid w:val="00B87CEF"/>
    <w:rsid w:val="00B9004C"/>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816"/>
    <w:rsid w:val="00BA2A08"/>
    <w:rsid w:val="00BA2EE4"/>
    <w:rsid w:val="00BA31E6"/>
    <w:rsid w:val="00BA3712"/>
    <w:rsid w:val="00BA45F9"/>
    <w:rsid w:val="00BA465D"/>
    <w:rsid w:val="00BA4D7F"/>
    <w:rsid w:val="00BA508C"/>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D93"/>
    <w:rsid w:val="00BB3E78"/>
    <w:rsid w:val="00BB485B"/>
    <w:rsid w:val="00BB49E6"/>
    <w:rsid w:val="00BB51E9"/>
    <w:rsid w:val="00BB52DE"/>
    <w:rsid w:val="00BB590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2BD6"/>
    <w:rsid w:val="00BC3053"/>
    <w:rsid w:val="00BC3288"/>
    <w:rsid w:val="00BC398A"/>
    <w:rsid w:val="00BC3AF9"/>
    <w:rsid w:val="00BC3DCE"/>
    <w:rsid w:val="00BC3F01"/>
    <w:rsid w:val="00BC424A"/>
    <w:rsid w:val="00BC4350"/>
    <w:rsid w:val="00BC4A31"/>
    <w:rsid w:val="00BC4D2E"/>
    <w:rsid w:val="00BC5311"/>
    <w:rsid w:val="00BC5572"/>
    <w:rsid w:val="00BC59D5"/>
    <w:rsid w:val="00BC60E7"/>
    <w:rsid w:val="00BC6342"/>
    <w:rsid w:val="00BC690C"/>
    <w:rsid w:val="00BC6F15"/>
    <w:rsid w:val="00BC7E8C"/>
    <w:rsid w:val="00BD213F"/>
    <w:rsid w:val="00BD2FFC"/>
    <w:rsid w:val="00BD38D9"/>
    <w:rsid w:val="00BD39A6"/>
    <w:rsid w:val="00BD3F94"/>
    <w:rsid w:val="00BD40BC"/>
    <w:rsid w:val="00BD4462"/>
    <w:rsid w:val="00BD46F0"/>
    <w:rsid w:val="00BD4856"/>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D45"/>
    <w:rsid w:val="00BE1FA1"/>
    <w:rsid w:val="00BE26DF"/>
    <w:rsid w:val="00BE2BA0"/>
    <w:rsid w:val="00BE2D12"/>
    <w:rsid w:val="00BE2FA6"/>
    <w:rsid w:val="00BE305E"/>
    <w:rsid w:val="00BE30CA"/>
    <w:rsid w:val="00BE3238"/>
    <w:rsid w:val="00BE333F"/>
    <w:rsid w:val="00BE363B"/>
    <w:rsid w:val="00BE37C3"/>
    <w:rsid w:val="00BE40BF"/>
    <w:rsid w:val="00BE42AA"/>
    <w:rsid w:val="00BE4417"/>
    <w:rsid w:val="00BE49A1"/>
    <w:rsid w:val="00BE573D"/>
    <w:rsid w:val="00BE57D5"/>
    <w:rsid w:val="00BE5AE2"/>
    <w:rsid w:val="00BE5BFF"/>
    <w:rsid w:val="00BE61A4"/>
    <w:rsid w:val="00BE680B"/>
    <w:rsid w:val="00BE6821"/>
    <w:rsid w:val="00BE6924"/>
    <w:rsid w:val="00BE6F54"/>
    <w:rsid w:val="00BE707C"/>
    <w:rsid w:val="00BE7406"/>
    <w:rsid w:val="00BE749C"/>
    <w:rsid w:val="00BE7603"/>
    <w:rsid w:val="00BE762F"/>
    <w:rsid w:val="00BE7C95"/>
    <w:rsid w:val="00BF0284"/>
    <w:rsid w:val="00BF1519"/>
    <w:rsid w:val="00BF1BF0"/>
    <w:rsid w:val="00BF208E"/>
    <w:rsid w:val="00BF21A4"/>
    <w:rsid w:val="00BF2F2D"/>
    <w:rsid w:val="00BF3170"/>
    <w:rsid w:val="00BF3279"/>
    <w:rsid w:val="00BF418D"/>
    <w:rsid w:val="00BF42CE"/>
    <w:rsid w:val="00BF4621"/>
    <w:rsid w:val="00BF48ED"/>
    <w:rsid w:val="00BF6033"/>
    <w:rsid w:val="00BF73CB"/>
    <w:rsid w:val="00BF74C7"/>
    <w:rsid w:val="00BF798F"/>
    <w:rsid w:val="00BF7AE9"/>
    <w:rsid w:val="00C00616"/>
    <w:rsid w:val="00C00CA5"/>
    <w:rsid w:val="00C00F39"/>
    <w:rsid w:val="00C01477"/>
    <w:rsid w:val="00C01495"/>
    <w:rsid w:val="00C015F1"/>
    <w:rsid w:val="00C01803"/>
    <w:rsid w:val="00C01A4F"/>
    <w:rsid w:val="00C01CE7"/>
    <w:rsid w:val="00C01E1A"/>
    <w:rsid w:val="00C01F33"/>
    <w:rsid w:val="00C02143"/>
    <w:rsid w:val="00C024FC"/>
    <w:rsid w:val="00C02CC6"/>
    <w:rsid w:val="00C02D85"/>
    <w:rsid w:val="00C030ED"/>
    <w:rsid w:val="00C0358C"/>
    <w:rsid w:val="00C040F7"/>
    <w:rsid w:val="00C044AB"/>
    <w:rsid w:val="00C044D1"/>
    <w:rsid w:val="00C045DA"/>
    <w:rsid w:val="00C04984"/>
    <w:rsid w:val="00C05360"/>
    <w:rsid w:val="00C05706"/>
    <w:rsid w:val="00C058E3"/>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159"/>
    <w:rsid w:val="00C12342"/>
    <w:rsid w:val="00C12597"/>
    <w:rsid w:val="00C125E3"/>
    <w:rsid w:val="00C126AB"/>
    <w:rsid w:val="00C133A3"/>
    <w:rsid w:val="00C13489"/>
    <w:rsid w:val="00C135CB"/>
    <w:rsid w:val="00C13DC4"/>
    <w:rsid w:val="00C13F15"/>
    <w:rsid w:val="00C1490D"/>
    <w:rsid w:val="00C14D4B"/>
    <w:rsid w:val="00C1500D"/>
    <w:rsid w:val="00C150BD"/>
    <w:rsid w:val="00C1516C"/>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47"/>
    <w:rsid w:val="00C241D0"/>
    <w:rsid w:val="00C241F8"/>
    <w:rsid w:val="00C24410"/>
    <w:rsid w:val="00C244D6"/>
    <w:rsid w:val="00C2554E"/>
    <w:rsid w:val="00C257F1"/>
    <w:rsid w:val="00C25864"/>
    <w:rsid w:val="00C25B8B"/>
    <w:rsid w:val="00C26216"/>
    <w:rsid w:val="00C26F64"/>
    <w:rsid w:val="00C2786A"/>
    <w:rsid w:val="00C278AD"/>
    <w:rsid w:val="00C279B5"/>
    <w:rsid w:val="00C27AE9"/>
    <w:rsid w:val="00C27C45"/>
    <w:rsid w:val="00C30961"/>
    <w:rsid w:val="00C313A6"/>
    <w:rsid w:val="00C31B04"/>
    <w:rsid w:val="00C31CB1"/>
    <w:rsid w:val="00C31D4C"/>
    <w:rsid w:val="00C32E88"/>
    <w:rsid w:val="00C33017"/>
    <w:rsid w:val="00C3350E"/>
    <w:rsid w:val="00C335F7"/>
    <w:rsid w:val="00C3387D"/>
    <w:rsid w:val="00C33DC9"/>
    <w:rsid w:val="00C34100"/>
    <w:rsid w:val="00C34361"/>
    <w:rsid w:val="00C349E2"/>
    <w:rsid w:val="00C34A5B"/>
    <w:rsid w:val="00C34AF3"/>
    <w:rsid w:val="00C35606"/>
    <w:rsid w:val="00C37002"/>
    <w:rsid w:val="00C3709F"/>
    <w:rsid w:val="00C37147"/>
    <w:rsid w:val="00C3719D"/>
    <w:rsid w:val="00C376D5"/>
    <w:rsid w:val="00C37BB4"/>
    <w:rsid w:val="00C37E49"/>
    <w:rsid w:val="00C37FEC"/>
    <w:rsid w:val="00C401DB"/>
    <w:rsid w:val="00C40210"/>
    <w:rsid w:val="00C404D6"/>
    <w:rsid w:val="00C40720"/>
    <w:rsid w:val="00C40A80"/>
    <w:rsid w:val="00C40F0C"/>
    <w:rsid w:val="00C417C4"/>
    <w:rsid w:val="00C41EBD"/>
    <w:rsid w:val="00C4229E"/>
    <w:rsid w:val="00C427A9"/>
    <w:rsid w:val="00C429C8"/>
    <w:rsid w:val="00C42AED"/>
    <w:rsid w:val="00C43464"/>
    <w:rsid w:val="00C4350B"/>
    <w:rsid w:val="00C43C27"/>
    <w:rsid w:val="00C445E2"/>
    <w:rsid w:val="00C445FE"/>
    <w:rsid w:val="00C456A4"/>
    <w:rsid w:val="00C458D4"/>
    <w:rsid w:val="00C4602A"/>
    <w:rsid w:val="00C46349"/>
    <w:rsid w:val="00C4636C"/>
    <w:rsid w:val="00C466B6"/>
    <w:rsid w:val="00C46A1B"/>
    <w:rsid w:val="00C46AA8"/>
    <w:rsid w:val="00C46AF7"/>
    <w:rsid w:val="00C471AB"/>
    <w:rsid w:val="00C47594"/>
    <w:rsid w:val="00C47719"/>
    <w:rsid w:val="00C47741"/>
    <w:rsid w:val="00C47C7B"/>
    <w:rsid w:val="00C47C96"/>
    <w:rsid w:val="00C5006C"/>
    <w:rsid w:val="00C50312"/>
    <w:rsid w:val="00C50441"/>
    <w:rsid w:val="00C50B02"/>
    <w:rsid w:val="00C50F8A"/>
    <w:rsid w:val="00C51368"/>
    <w:rsid w:val="00C517C5"/>
    <w:rsid w:val="00C51962"/>
    <w:rsid w:val="00C51EAD"/>
    <w:rsid w:val="00C523FC"/>
    <w:rsid w:val="00C524C4"/>
    <w:rsid w:val="00C5261D"/>
    <w:rsid w:val="00C52776"/>
    <w:rsid w:val="00C528AF"/>
    <w:rsid w:val="00C52D75"/>
    <w:rsid w:val="00C5387E"/>
    <w:rsid w:val="00C53BDA"/>
    <w:rsid w:val="00C53E69"/>
    <w:rsid w:val="00C54070"/>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23C"/>
    <w:rsid w:val="00C605A7"/>
    <w:rsid w:val="00C60783"/>
    <w:rsid w:val="00C6090D"/>
    <w:rsid w:val="00C609C4"/>
    <w:rsid w:val="00C60D84"/>
    <w:rsid w:val="00C61017"/>
    <w:rsid w:val="00C61068"/>
    <w:rsid w:val="00C613B2"/>
    <w:rsid w:val="00C61543"/>
    <w:rsid w:val="00C61E85"/>
    <w:rsid w:val="00C61E92"/>
    <w:rsid w:val="00C63E95"/>
    <w:rsid w:val="00C642B3"/>
    <w:rsid w:val="00C644CA"/>
    <w:rsid w:val="00C64622"/>
    <w:rsid w:val="00C64672"/>
    <w:rsid w:val="00C646A6"/>
    <w:rsid w:val="00C64E38"/>
    <w:rsid w:val="00C65804"/>
    <w:rsid w:val="00C65BE2"/>
    <w:rsid w:val="00C65D45"/>
    <w:rsid w:val="00C66109"/>
    <w:rsid w:val="00C66261"/>
    <w:rsid w:val="00C662A0"/>
    <w:rsid w:val="00C6682B"/>
    <w:rsid w:val="00C66A6E"/>
    <w:rsid w:val="00C66ACC"/>
    <w:rsid w:val="00C66F34"/>
    <w:rsid w:val="00C67083"/>
    <w:rsid w:val="00C67874"/>
    <w:rsid w:val="00C67BBE"/>
    <w:rsid w:val="00C70697"/>
    <w:rsid w:val="00C7089D"/>
    <w:rsid w:val="00C70E2F"/>
    <w:rsid w:val="00C716C0"/>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50F"/>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E97"/>
    <w:rsid w:val="00C84689"/>
    <w:rsid w:val="00C84C2A"/>
    <w:rsid w:val="00C85204"/>
    <w:rsid w:val="00C85974"/>
    <w:rsid w:val="00C85D36"/>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2BEF"/>
    <w:rsid w:val="00C930EF"/>
    <w:rsid w:val="00C93111"/>
    <w:rsid w:val="00C93C4B"/>
    <w:rsid w:val="00C94212"/>
    <w:rsid w:val="00C944AB"/>
    <w:rsid w:val="00C95241"/>
    <w:rsid w:val="00C95B40"/>
    <w:rsid w:val="00C96068"/>
    <w:rsid w:val="00CA07F6"/>
    <w:rsid w:val="00CA0DE7"/>
    <w:rsid w:val="00CA0DF6"/>
    <w:rsid w:val="00CA0E98"/>
    <w:rsid w:val="00CA11A4"/>
    <w:rsid w:val="00CA16DC"/>
    <w:rsid w:val="00CA180F"/>
    <w:rsid w:val="00CA1BAA"/>
    <w:rsid w:val="00CA1ED8"/>
    <w:rsid w:val="00CA367A"/>
    <w:rsid w:val="00CA38C6"/>
    <w:rsid w:val="00CA39A6"/>
    <w:rsid w:val="00CA3A51"/>
    <w:rsid w:val="00CA3AA7"/>
    <w:rsid w:val="00CA488B"/>
    <w:rsid w:val="00CA4C6D"/>
    <w:rsid w:val="00CA4D3D"/>
    <w:rsid w:val="00CA4D80"/>
    <w:rsid w:val="00CA529F"/>
    <w:rsid w:val="00CA55D5"/>
    <w:rsid w:val="00CA5ACA"/>
    <w:rsid w:val="00CA5BD4"/>
    <w:rsid w:val="00CA6236"/>
    <w:rsid w:val="00CA6D19"/>
    <w:rsid w:val="00CA6FA5"/>
    <w:rsid w:val="00CA7E0D"/>
    <w:rsid w:val="00CB06CB"/>
    <w:rsid w:val="00CB0776"/>
    <w:rsid w:val="00CB07A1"/>
    <w:rsid w:val="00CB0934"/>
    <w:rsid w:val="00CB0A67"/>
    <w:rsid w:val="00CB0CEA"/>
    <w:rsid w:val="00CB0FF5"/>
    <w:rsid w:val="00CB11C4"/>
    <w:rsid w:val="00CB1203"/>
    <w:rsid w:val="00CB16E5"/>
    <w:rsid w:val="00CB1F63"/>
    <w:rsid w:val="00CB23BD"/>
    <w:rsid w:val="00CB28F1"/>
    <w:rsid w:val="00CB2BC7"/>
    <w:rsid w:val="00CB313A"/>
    <w:rsid w:val="00CB33B2"/>
    <w:rsid w:val="00CB377A"/>
    <w:rsid w:val="00CB3BA0"/>
    <w:rsid w:val="00CB40EA"/>
    <w:rsid w:val="00CB503F"/>
    <w:rsid w:val="00CB557D"/>
    <w:rsid w:val="00CB5E83"/>
    <w:rsid w:val="00CB627B"/>
    <w:rsid w:val="00CB6577"/>
    <w:rsid w:val="00CB6825"/>
    <w:rsid w:val="00CB68B1"/>
    <w:rsid w:val="00CB6B2F"/>
    <w:rsid w:val="00CB7170"/>
    <w:rsid w:val="00CB73AC"/>
    <w:rsid w:val="00CB73AF"/>
    <w:rsid w:val="00CB742D"/>
    <w:rsid w:val="00CB74A7"/>
    <w:rsid w:val="00CB75C6"/>
    <w:rsid w:val="00CB7D54"/>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530B"/>
    <w:rsid w:val="00CC6D6B"/>
    <w:rsid w:val="00CC7B45"/>
    <w:rsid w:val="00CC7F2C"/>
    <w:rsid w:val="00CC7F88"/>
    <w:rsid w:val="00CD008F"/>
    <w:rsid w:val="00CD025D"/>
    <w:rsid w:val="00CD0349"/>
    <w:rsid w:val="00CD0403"/>
    <w:rsid w:val="00CD07B5"/>
    <w:rsid w:val="00CD07E0"/>
    <w:rsid w:val="00CD07F5"/>
    <w:rsid w:val="00CD0B3B"/>
    <w:rsid w:val="00CD0D88"/>
    <w:rsid w:val="00CD0F80"/>
    <w:rsid w:val="00CD1188"/>
    <w:rsid w:val="00CD1995"/>
    <w:rsid w:val="00CD1C93"/>
    <w:rsid w:val="00CD1DBB"/>
    <w:rsid w:val="00CD29AA"/>
    <w:rsid w:val="00CD2D1C"/>
    <w:rsid w:val="00CD2ED1"/>
    <w:rsid w:val="00CD30E0"/>
    <w:rsid w:val="00CD337B"/>
    <w:rsid w:val="00CD356D"/>
    <w:rsid w:val="00CD35A6"/>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7D9"/>
    <w:rsid w:val="00CE0984"/>
    <w:rsid w:val="00CE0ABB"/>
    <w:rsid w:val="00CE0F57"/>
    <w:rsid w:val="00CE129B"/>
    <w:rsid w:val="00CE13BB"/>
    <w:rsid w:val="00CE1CDA"/>
    <w:rsid w:val="00CE246C"/>
    <w:rsid w:val="00CE25F6"/>
    <w:rsid w:val="00CE2B7C"/>
    <w:rsid w:val="00CE2C62"/>
    <w:rsid w:val="00CE2F3D"/>
    <w:rsid w:val="00CE2FE6"/>
    <w:rsid w:val="00CE3892"/>
    <w:rsid w:val="00CE46EF"/>
    <w:rsid w:val="00CE474A"/>
    <w:rsid w:val="00CE4888"/>
    <w:rsid w:val="00CE4969"/>
    <w:rsid w:val="00CE4990"/>
    <w:rsid w:val="00CE4D85"/>
    <w:rsid w:val="00CE5717"/>
    <w:rsid w:val="00CE6F63"/>
    <w:rsid w:val="00CE70A1"/>
    <w:rsid w:val="00CE7561"/>
    <w:rsid w:val="00CF082A"/>
    <w:rsid w:val="00CF1354"/>
    <w:rsid w:val="00CF1489"/>
    <w:rsid w:val="00CF1BBB"/>
    <w:rsid w:val="00CF24D1"/>
    <w:rsid w:val="00CF38DC"/>
    <w:rsid w:val="00CF39C4"/>
    <w:rsid w:val="00CF3A94"/>
    <w:rsid w:val="00CF3AC5"/>
    <w:rsid w:val="00CF3B1F"/>
    <w:rsid w:val="00CF3BF6"/>
    <w:rsid w:val="00CF4935"/>
    <w:rsid w:val="00CF4F83"/>
    <w:rsid w:val="00CF52BB"/>
    <w:rsid w:val="00CF56BB"/>
    <w:rsid w:val="00CF5700"/>
    <w:rsid w:val="00CF59EB"/>
    <w:rsid w:val="00CF5A2E"/>
    <w:rsid w:val="00CF5E0D"/>
    <w:rsid w:val="00CF6151"/>
    <w:rsid w:val="00CF625B"/>
    <w:rsid w:val="00CF6659"/>
    <w:rsid w:val="00CF687E"/>
    <w:rsid w:val="00CF728C"/>
    <w:rsid w:val="00CF7D10"/>
    <w:rsid w:val="00D00468"/>
    <w:rsid w:val="00D01196"/>
    <w:rsid w:val="00D01201"/>
    <w:rsid w:val="00D01234"/>
    <w:rsid w:val="00D0128E"/>
    <w:rsid w:val="00D013C6"/>
    <w:rsid w:val="00D016E0"/>
    <w:rsid w:val="00D019D8"/>
    <w:rsid w:val="00D01D02"/>
    <w:rsid w:val="00D0241C"/>
    <w:rsid w:val="00D02688"/>
    <w:rsid w:val="00D02A44"/>
    <w:rsid w:val="00D02F96"/>
    <w:rsid w:val="00D03373"/>
    <w:rsid w:val="00D0349B"/>
    <w:rsid w:val="00D03B86"/>
    <w:rsid w:val="00D03F5B"/>
    <w:rsid w:val="00D04A4D"/>
    <w:rsid w:val="00D04C43"/>
    <w:rsid w:val="00D04E7C"/>
    <w:rsid w:val="00D04F13"/>
    <w:rsid w:val="00D05EB6"/>
    <w:rsid w:val="00D05ED1"/>
    <w:rsid w:val="00D05F6A"/>
    <w:rsid w:val="00D06252"/>
    <w:rsid w:val="00D0652F"/>
    <w:rsid w:val="00D065FD"/>
    <w:rsid w:val="00D076D4"/>
    <w:rsid w:val="00D0789E"/>
    <w:rsid w:val="00D10249"/>
    <w:rsid w:val="00D10D6A"/>
    <w:rsid w:val="00D10FB8"/>
    <w:rsid w:val="00D1121F"/>
    <w:rsid w:val="00D11300"/>
    <w:rsid w:val="00D11457"/>
    <w:rsid w:val="00D115C3"/>
    <w:rsid w:val="00D11623"/>
    <w:rsid w:val="00D11897"/>
    <w:rsid w:val="00D12445"/>
    <w:rsid w:val="00D129CF"/>
    <w:rsid w:val="00D12C2A"/>
    <w:rsid w:val="00D13135"/>
    <w:rsid w:val="00D132AE"/>
    <w:rsid w:val="00D13C89"/>
    <w:rsid w:val="00D13CF1"/>
    <w:rsid w:val="00D13E4E"/>
    <w:rsid w:val="00D13F8F"/>
    <w:rsid w:val="00D141EE"/>
    <w:rsid w:val="00D14772"/>
    <w:rsid w:val="00D14800"/>
    <w:rsid w:val="00D1487D"/>
    <w:rsid w:val="00D14FB6"/>
    <w:rsid w:val="00D150D4"/>
    <w:rsid w:val="00D1514C"/>
    <w:rsid w:val="00D15AD0"/>
    <w:rsid w:val="00D15C27"/>
    <w:rsid w:val="00D16477"/>
    <w:rsid w:val="00D16ED9"/>
    <w:rsid w:val="00D174EF"/>
    <w:rsid w:val="00D17BD5"/>
    <w:rsid w:val="00D17C60"/>
    <w:rsid w:val="00D17CAF"/>
    <w:rsid w:val="00D203A2"/>
    <w:rsid w:val="00D20E2B"/>
    <w:rsid w:val="00D211FF"/>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2C8"/>
    <w:rsid w:val="00D267EA"/>
    <w:rsid w:val="00D26843"/>
    <w:rsid w:val="00D268E2"/>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1DB"/>
    <w:rsid w:val="00D3552A"/>
    <w:rsid w:val="00D356D3"/>
    <w:rsid w:val="00D35EF0"/>
    <w:rsid w:val="00D364D8"/>
    <w:rsid w:val="00D36AB2"/>
    <w:rsid w:val="00D36B10"/>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BBF"/>
    <w:rsid w:val="00D40D72"/>
    <w:rsid w:val="00D41348"/>
    <w:rsid w:val="00D416D9"/>
    <w:rsid w:val="00D41E91"/>
    <w:rsid w:val="00D4235B"/>
    <w:rsid w:val="00D4318F"/>
    <w:rsid w:val="00D436DE"/>
    <w:rsid w:val="00D4386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72D"/>
    <w:rsid w:val="00D507F0"/>
    <w:rsid w:val="00D524EF"/>
    <w:rsid w:val="00D52FBF"/>
    <w:rsid w:val="00D53113"/>
    <w:rsid w:val="00D537B4"/>
    <w:rsid w:val="00D53A7B"/>
    <w:rsid w:val="00D53BDB"/>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6BDE"/>
    <w:rsid w:val="00D576CA"/>
    <w:rsid w:val="00D57C50"/>
    <w:rsid w:val="00D57D59"/>
    <w:rsid w:val="00D57EB4"/>
    <w:rsid w:val="00D609BF"/>
    <w:rsid w:val="00D60B53"/>
    <w:rsid w:val="00D60C4A"/>
    <w:rsid w:val="00D60E43"/>
    <w:rsid w:val="00D61AF5"/>
    <w:rsid w:val="00D61B02"/>
    <w:rsid w:val="00D61C5E"/>
    <w:rsid w:val="00D62353"/>
    <w:rsid w:val="00D623EB"/>
    <w:rsid w:val="00D624C5"/>
    <w:rsid w:val="00D6267F"/>
    <w:rsid w:val="00D62EBE"/>
    <w:rsid w:val="00D63343"/>
    <w:rsid w:val="00D6359C"/>
    <w:rsid w:val="00D63C92"/>
    <w:rsid w:val="00D63D6C"/>
    <w:rsid w:val="00D64B7F"/>
    <w:rsid w:val="00D64BB1"/>
    <w:rsid w:val="00D64BF6"/>
    <w:rsid w:val="00D652B5"/>
    <w:rsid w:val="00D66155"/>
    <w:rsid w:val="00D6657A"/>
    <w:rsid w:val="00D66782"/>
    <w:rsid w:val="00D66DC8"/>
    <w:rsid w:val="00D66E9F"/>
    <w:rsid w:val="00D672A5"/>
    <w:rsid w:val="00D672E7"/>
    <w:rsid w:val="00D67605"/>
    <w:rsid w:val="00D67B25"/>
    <w:rsid w:val="00D7045E"/>
    <w:rsid w:val="00D708B0"/>
    <w:rsid w:val="00D70C63"/>
    <w:rsid w:val="00D70FC3"/>
    <w:rsid w:val="00D71117"/>
    <w:rsid w:val="00D71260"/>
    <w:rsid w:val="00D716D2"/>
    <w:rsid w:val="00D71F04"/>
    <w:rsid w:val="00D72749"/>
    <w:rsid w:val="00D72A3A"/>
    <w:rsid w:val="00D72C61"/>
    <w:rsid w:val="00D731D5"/>
    <w:rsid w:val="00D73555"/>
    <w:rsid w:val="00D735C9"/>
    <w:rsid w:val="00D737C2"/>
    <w:rsid w:val="00D748ED"/>
    <w:rsid w:val="00D7548E"/>
    <w:rsid w:val="00D75533"/>
    <w:rsid w:val="00D75A06"/>
    <w:rsid w:val="00D76CF7"/>
    <w:rsid w:val="00D774C8"/>
    <w:rsid w:val="00D774F7"/>
    <w:rsid w:val="00D77B1D"/>
    <w:rsid w:val="00D8002F"/>
    <w:rsid w:val="00D8021F"/>
    <w:rsid w:val="00D80383"/>
    <w:rsid w:val="00D8078C"/>
    <w:rsid w:val="00D809F8"/>
    <w:rsid w:val="00D80B55"/>
    <w:rsid w:val="00D80D37"/>
    <w:rsid w:val="00D812BC"/>
    <w:rsid w:val="00D819D0"/>
    <w:rsid w:val="00D81FC4"/>
    <w:rsid w:val="00D823C6"/>
    <w:rsid w:val="00D8259C"/>
    <w:rsid w:val="00D82A42"/>
    <w:rsid w:val="00D82B87"/>
    <w:rsid w:val="00D83721"/>
    <w:rsid w:val="00D8413D"/>
    <w:rsid w:val="00D84A88"/>
    <w:rsid w:val="00D84E98"/>
    <w:rsid w:val="00D84ECC"/>
    <w:rsid w:val="00D8511D"/>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6264"/>
    <w:rsid w:val="00D97481"/>
    <w:rsid w:val="00D97DD8"/>
    <w:rsid w:val="00DA014B"/>
    <w:rsid w:val="00DA0F5C"/>
    <w:rsid w:val="00DA13F1"/>
    <w:rsid w:val="00DA1793"/>
    <w:rsid w:val="00DA21D6"/>
    <w:rsid w:val="00DA2297"/>
    <w:rsid w:val="00DA2301"/>
    <w:rsid w:val="00DA3044"/>
    <w:rsid w:val="00DA305E"/>
    <w:rsid w:val="00DA3107"/>
    <w:rsid w:val="00DA3867"/>
    <w:rsid w:val="00DA38EE"/>
    <w:rsid w:val="00DA3960"/>
    <w:rsid w:val="00DA3D1C"/>
    <w:rsid w:val="00DA4889"/>
    <w:rsid w:val="00DA4D53"/>
    <w:rsid w:val="00DA4EBF"/>
    <w:rsid w:val="00DA4F4E"/>
    <w:rsid w:val="00DA5417"/>
    <w:rsid w:val="00DA548E"/>
    <w:rsid w:val="00DA56E8"/>
    <w:rsid w:val="00DA5983"/>
    <w:rsid w:val="00DA5E83"/>
    <w:rsid w:val="00DA6104"/>
    <w:rsid w:val="00DA6236"/>
    <w:rsid w:val="00DA7ABD"/>
    <w:rsid w:val="00DA7FF2"/>
    <w:rsid w:val="00DB07CE"/>
    <w:rsid w:val="00DB0A9F"/>
    <w:rsid w:val="00DB0D00"/>
    <w:rsid w:val="00DB0F39"/>
    <w:rsid w:val="00DB12BB"/>
    <w:rsid w:val="00DB1873"/>
    <w:rsid w:val="00DB2B7D"/>
    <w:rsid w:val="00DB3549"/>
    <w:rsid w:val="00DB3689"/>
    <w:rsid w:val="00DB377D"/>
    <w:rsid w:val="00DB381E"/>
    <w:rsid w:val="00DB4094"/>
    <w:rsid w:val="00DB482C"/>
    <w:rsid w:val="00DB4A5F"/>
    <w:rsid w:val="00DB51F7"/>
    <w:rsid w:val="00DB623C"/>
    <w:rsid w:val="00DB6591"/>
    <w:rsid w:val="00DB6A66"/>
    <w:rsid w:val="00DB6B02"/>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3F72"/>
    <w:rsid w:val="00DC43C8"/>
    <w:rsid w:val="00DC456F"/>
    <w:rsid w:val="00DC4809"/>
    <w:rsid w:val="00DC5145"/>
    <w:rsid w:val="00DC53EF"/>
    <w:rsid w:val="00DC6206"/>
    <w:rsid w:val="00DC6A99"/>
    <w:rsid w:val="00DC7070"/>
    <w:rsid w:val="00DC71AC"/>
    <w:rsid w:val="00DC72B1"/>
    <w:rsid w:val="00DC74F7"/>
    <w:rsid w:val="00DC7760"/>
    <w:rsid w:val="00DC7C69"/>
    <w:rsid w:val="00DD0137"/>
    <w:rsid w:val="00DD064E"/>
    <w:rsid w:val="00DD0811"/>
    <w:rsid w:val="00DD11F0"/>
    <w:rsid w:val="00DD1688"/>
    <w:rsid w:val="00DD22D8"/>
    <w:rsid w:val="00DD2608"/>
    <w:rsid w:val="00DD265E"/>
    <w:rsid w:val="00DD2747"/>
    <w:rsid w:val="00DD27D2"/>
    <w:rsid w:val="00DD2957"/>
    <w:rsid w:val="00DD2B73"/>
    <w:rsid w:val="00DD33CE"/>
    <w:rsid w:val="00DD383C"/>
    <w:rsid w:val="00DD3CD1"/>
    <w:rsid w:val="00DD458C"/>
    <w:rsid w:val="00DD5977"/>
    <w:rsid w:val="00DD5A57"/>
    <w:rsid w:val="00DD5AAF"/>
    <w:rsid w:val="00DD6746"/>
    <w:rsid w:val="00DD68C9"/>
    <w:rsid w:val="00DD76F7"/>
    <w:rsid w:val="00DD773B"/>
    <w:rsid w:val="00DE03D1"/>
    <w:rsid w:val="00DE0ADB"/>
    <w:rsid w:val="00DE0AEF"/>
    <w:rsid w:val="00DE0C77"/>
    <w:rsid w:val="00DE0FB3"/>
    <w:rsid w:val="00DE144C"/>
    <w:rsid w:val="00DE1DB1"/>
    <w:rsid w:val="00DE2549"/>
    <w:rsid w:val="00DE276A"/>
    <w:rsid w:val="00DE3545"/>
    <w:rsid w:val="00DE3694"/>
    <w:rsid w:val="00DE3786"/>
    <w:rsid w:val="00DE3A8D"/>
    <w:rsid w:val="00DE4490"/>
    <w:rsid w:val="00DE4810"/>
    <w:rsid w:val="00DE4936"/>
    <w:rsid w:val="00DE4E20"/>
    <w:rsid w:val="00DE51DD"/>
    <w:rsid w:val="00DE525A"/>
    <w:rsid w:val="00DE53C3"/>
    <w:rsid w:val="00DE5608"/>
    <w:rsid w:val="00DE58D0"/>
    <w:rsid w:val="00DE5B3E"/>
    <w:rsid w:val="00DE5BBC"/>
    <w:rsid w:val="00DE5BFC"/>
    <w:rsid w:val="00DE654F"/>
    <w:rsid w:val="00DE6B01"/>
    <w:rsid w:val="00DE6B02"/>
    <w:rsid w:val="00DE6D95"/>
    <w:rsid w:val="00DE6F51"/>
    <w:rsid w:val="00DE749D"/>
    <w:rsid w:val="00DE7963"/>
    <w:rsid w:val="00DE7C2D"/>
    <w:rsid w:val="00DE7E77"/>
    <w:rsid w:val="00DF0251"/>
    <w:rsid w:val="00DF03B8"/>
    <w:rsid w:val="00DF09A9"/>
    <w:rsid w:val="00DF0B6E"/>
    <w:rsid w:val="00DF0C68"/>
    <w:rsid w:val="00DF0F9D"/>
    <w:rsid w:val="00DF12E8"/>
    <w:rsid w:val="00DF15E0"/>
    <w:rsid w:val="00DF2289"/>
    <w:rsid w:val="00DF247F"/>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4DF"/>
    <w:rsid w:val="00DF5529"/>
    <w:rsid w:val="00DF575C"/>
    <w:rsid w:val="00DF5ABF"/>
    <w:rsid w:val="00DF6415"/>
    <w:rsid w:val="00DF64DB"/>
    <w:rsid w:val="00DF6B45"/>
    <w:rsid w:val="00DF7774"/>
    <w:rsid w:val="00DF78DC"/>
    <w:rsid w:val="00E00400"/>
    <w:rsid w:val="00E014A4"/>
    <w:rsid w:val="00E01E02"/>
    <w:rsid w:val="00E020E0"/>
    <w:rsid w:val="00E021E3"/>
    <w:rsid w:val="00E02263"/>
    <w:rsid w:val="00E02646"/>
    <w:rsid w:val="00E02AA4"/>
    <w:rsid w:val="00E02EC6"/>
    <w:rsid w:val="00E02FCD"/>
    <w:rsid w:val="00E032AC"/>
    <w:rsid w:val="00E041FC"/>
    <w:rsid w:val="00E04890"/>
    <w:rsid w:val="00E04E14"/>
    <w:rsid w:val="00E05348"/>
    <w:rsid w:val="00E05A19"/>
    <w:rsid w:val="00E05C88"/>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920"/>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013"/>
    <w:rsid w:val="00E22239"/>
    <w:rsid w:val="00E222EF"/>
    <w:rsid w:val="00E22330"/>
    <w:rsid w:val="00E23A82"/>
    <w:rsid w:val="00E24318"/>
    <w:rsid w:val="00E24660"/>
    <w:rsid w:val="00E250C2"/>
    <w:rsid w:val="00E25652"/>
    <w:rsid w:val="00E25686"/>
    <w:rsid w:val="00E25C16"/>
    <w:rsid w:val="00E25E2A"/>
    <w:rsid w:val="00E25EE0"/>
    <w:rsid w:val="00E25F33"/>
    <w:rsid w:val="00E2614D"/>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DDF"/>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3999"/>
    <w:rsid w:val="00E44437"/>
    <w:rsid w:val="00E446F1"/>
    <w:rsid w:val="00E447F2"/>
    <w:rsid w:val="00E44891"/>
    <w:rsid w:val="00E44C33"/>
    <w:rsid w:val="00E458B1"/>
    <w:rsid w:val="00E45D68"/>
    <w:rsid w:val="00E460A3"/>
    <w:rsid w:val="00E46886"/>
    <w:rsid w:val="00E4767B"/>
    <w:rsid w:val="00E4786D"/>
    <w:rsid w:val="00E47AEF"/>
    <w:rsid w:val="00E5023E"/>
    <w:rsid w:val="00E503EB"/>
    <w:rsid w:val="00E51202"/>
    <w:rsid w:val="00E51539"/>
    <w:rsid w:val="00E51935"/>
    <w:rsid w:val="00E51E99"/>
    <w:rsid w:val="00E51EDC"/>
    <w:rsid w:val="00E523FE"/>
    <w:rsid w:val="00E52648"/>
    <w:rsid w:val="00E53135"/>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8"/>
    <w:rsid w:val="00E567CF"/>
    <w:rsid w:val="00E56AD4"/>
    <w:rsid w:val="00E56FDD"/>
    <w:rsid w:val="00E57158"/>
    <w:rsid w:val="00E573DA"/>
    <w:rsid w:val="00E5748D"/>
    <w:rsid w:val="00E57565"/>
    <w:rsid w:val="00E576A1"/>
    <w:rsid w:val="00E57F71"/>
    <w:rsid w:val="00E60ED2"/>
    <w:rsid w:val="00E6122D"/>
    <w:rsid w:val="00E612CB"/>
    <w:rsid w:val="00E612DB"/>
    <w:rsid w:val="00E6264A"/>
    <w:rsid w:val="00E636A2"/>
    <w:rsid w:val="00E63838"/>
    <w:rsid w:val="00E63AFF"/>
    <w:rsid w:val="00E63B0A"/>
    <w:rsid w:val="00E63BAC"/>
    <w:rsid w:val="00E64126"/>
    <w:rsid w:val="00E64229"/>
    <w:rsid w:val="00E64434"/>
    <w:rsid w:val="00E651F0"/>
    <w:rsid w:val="00E6529E"/>
    <w:rsid w:val="00E6580F"/>
    <w:rsid w:val="00E658F2"/>
    <w:rsid w:val="00E668BD"/>
    <w:rsid w:val="00E66BB8"/>
    <w:rsid w:val="00E67C51"/>
    <w:rsid w:val="00E70ED0"/>
    <w:rsid w:val="00E70FEB"/>
    <w:rsid w:val="00E7183A"/>
    <w:rsid w:val="00E71C13"/>
    <w:rsid w:val="00E71F49"/>
    <w:rsid w:val="00E72EFC"/>
    <w:rsid w:val="00E73448"/>
    <w:rsid w:val="00E734D2"/>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7752E"/>
    <w:rsid w:val="00E80340"/>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4FD7"/>
    <w:rsid w:val="00E853BA"/>
    <w:rsid w:val="00E85928"/>
    <w:rsid w:val="00E85A01"/>
    <w:rsid w:val="00E85C2F"/>
    <w:rsid w:val="00E86F35"/>
    <w:rsid w:val="00E8717B"/>
    <w:rsid w:val="00E87822"/>
    <w:rsid w:val="00E90299"/>
    <w:rsid w:val="00E90395"/>
    <w:rsid w:val="00E90598"/>
    <w:rsid w:val="00E90A9E"/>
    <w:rsid w:val="00E90D56"/>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B70"/>
    <w:rsid w:val="00E95CCB"/>
    <w:rsid w:val="00E9639C"/>
    <w:rsid w:val="00E964FD"/>
    <w:rsid w:val="00E96854"/>
    <w:rsid w:val="00E96D72"/>
    <w:rsid w:val="00E96EA8"/>
    <w:rsid w:val="00E97209"/>
    <w:rsid w:val="00E9769B"/>
    <w:rsid w:val="00EA061E"/>
    <w:rsid w:val="00EA071D"/>
    <w:rsid w:val="00EA074C"/>
    <w:rsid w:val="00EA0A0F"/>
    <w:rsid w:val="00EA11C1"/>
    <w:rsid w:val="00EA1516"/>
    <w:rsid w:val="00EA175B"/>
    <w:rsid w:val="00EA1C04"/>
    <w:rsid w:val="00EA21AA"/>
    <w:rsid w:val="00EA2280"/>
    <w:rsid w:val="00EA2366"/>
    <w:rsid w:val="00EA24F1"/>
    <w:rsid w:val="00EA2657"/>
    <w:rsid w:val="00EA2C21"/>
    <w:rsid w:val="00EA3136"/>
    <w:rsid w:val="00EA32D7"/>
    <w:rsid w:val="00EA3529"/>
    <w:rsid w:val="00EA358B"/>
    <w:rsid w:val="00EA35EF"/>
    <w:rsid w:val="00EA3808"/>
    <w:rsid w:val="00EA3C1F"/>
    <w:rsid w:val="00EA4B48"/>
    <w:rsid w:val="00EA4C81"/>
    <w:rsid w:val="00EA54B8"/>
    <w:rsid w:val="00EA56A9"/>
    <w:rsid w:val="00EA58E4"/>
    <w:rsid w:val="00EA6391"/>
    <w:rsid w:val="00EA6717"/>
    <w:rsid w:val="00EA6820"/>
    <w:rsid w:val="00EA6A15"/>
    <w:rsid w:val="00EA6CFA"/>
    <w:rsid w:val="00EA755B"/>
    <w:rsid w:val="00EA796A"/>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207"/>
    <w:rsid w:val="00EB33B5"/>
    <w:rsid w:val="00EB3735"/>
    <w:rsid w:val="00EB3902"/>
    <w:rsid w:val="00EB3955"/>
    <w:rsid w:val="00EB3A86"/>
    <w:rsid w:val="00EB3EB4"/>
    <w:rsid w:val="00EB3F54"/>
    <w:rsid w:val="00EB417A"/>
    <w:rsid w:val="00EB4331"/>
    <w:rsid w:val="00EB4904"/>
    <w:rsid w:val="00EB4A44"/>
    <w:rsid w:val="00EB4EA2"/>
    <w:rsid w:val="00EB5020"/>
    <w:rsid w:val="00EB5033"/>
    <w:rsid w:val="00EB510E"/>
    <w:rsid w:val="00EB5414"/>
    <w:rsid w:val="00EB55B9"/>
    <w:rsid w:val="00EB5AE4"/>
    <w:rsid w:val="00EB5D07"/>
    <w:rsid w:val="00EB6088"/>
    <w:rsid w:val="00EB61CD"/>
    <w:rsid w:val="00EB6211"/>
    <w:rsid w:val="00EB6250"/>
    <w:rsid w:val="00EB65A5"/>
    <w:rsid w:val="00EB65C9"/>
    <w:rsid w:val="00EB7099"/>
    <w:rsid w:val="00EB7AD4"/>
    <w:rsid w:val="00EC01C5"/>
    <w:rsid w:val="00EC06EF"/>
    <w:rsid w:val="00EC0B29"/>
    <w:rsid w:val="00EC13C6"/>
    <w:rsid w:val="00EC1453"/>
    <w:rsid w:val="00EC1652"/>
    <w:rsid w:val="00EC1ED7"/>
    <w:rsid w:val="00EC24EE"/>
    <w:rsid w:val="00EC27C6"/>
    <w:rsid w:val="00EC3077"/>
    <w:rsid w:val="00EC33DF"/>
    <w:rsid w:val="00EC391E"/>
    <w:rsid w:val="00EC4181"/>
    <w:rsid w:val="00EC4207"/>
    <w:rsid w:val="00EC4F77"/>
    <w:rsid w:val="00EC511B"/>
    <w:rsid w:val="00EC53F6"/>
    <w:rsid w:val="00EC5653"/>
    <w:rsid w:val="00EC570A"/>
    <w:rsid w:val="00EC5800"/>
    <w:rsid w:val="00EC59F7"/>
    <w:rsid w:val="00EC609A"/>
    <w:rsid w:val="00EC640E"/>
    <w:rsid w:val="00EC6496"/>
    <w:rsid w:val="00EC68A8"/>
    <w:rsid w:val="00EC6B1E"/>
    <w:rsid w:val="00EC6D0C"/>
    <w:rsid w:val="00EC71CE"/>
    <w:rsid w:val="00EC7EC5"/>
    <w:rsid w:val="00ED023B"/>
    <w:rsid w:val="00ED1006"/>
    <w:rsid w:val="00ED16E5"/>
    <w:rsid w:val="00ED1A7E"/>
    <w:rsid w:val="00ED1D15"/>
    <w:rsid w:val="00ED2942"/>
    <w:rsid w:val="00ED2A1E"/>
    <w:rsid w:val="00ED30C4"/>
    <w:rsid w:val="00ED3B4F"/>
    <w:rsid w:val="00ED3BAA"/>
    <w:rsid w:val="00ED4875"/>
    <w:rsid w:val="00ED5552"/>
    <w:rsid w:val="00ED5581"/>
    <w:rsid w:val="00ED5668"/>
    <w:rsid w:val="00ED5798"/>
    <w:rsid w:val="00ED674C"/>
    <w:rsid w:val="00ED6A11"/>
    <w:rsid w:val="00ED6DB4"/>
    <w:rsid w:val="00ED75DF"/>
    <w:rsid w:val="00ED79C2"/>
    <w:rsid w:val="00EE0C53"/>
    <w:rsid w:val="00EE0D7C"/>
    <w:rsid w:val="00EE186A"/>
    <w:rsid w:val="00EE248C"/>
    <w:rsid w:val="00EE28ED"/>
    <w:rsid w:val="00EE2968"/>
    <w:rsid w:val="00EE3202"/>
    <w:rsid w:val="00EE376D"/>
    <w:rsid w:val="00EE3E75"/>
    <w:rsid w:val="00EE4034"/>
    <w:rsid w:val="00EE4281"/>
    <w:rsid w:val="00EE44D9"/>
    <w:rsid w:val="00EE5064"/>
    <w:rsid w:val="00EE5743"/>
    <w:rsid w:val="00EE583C"/>
    <w:rsid w:val="00EE591C"/>
    <w:rsid w:val="00EE5D40"/>
    <w:rsid w:val="00EE5E84"/>
    <w:rsid w:val="00EE6249"/>
    <w:rsid w:val="00EE6336"/>
    <w:rsid w:val="00EE68E0"/>
    <w:rsid w:val="00EE752B"/>
    <w:rsid w:val="00EE7F11"/>
    <w:rsid w:val="00EF01CF"/>
    <w:rsid w:val="00EF03EC"/>
    <w:rsid w:val="00EF0464"/>
    <w:rsid w:val="00EF049B"/>
    <w:rsid w:val="00EF0DEF"/>
    <w:rsid w:val="00EF0F5B"/>
    <w:rsid w:val="00EF1277"/>
    <w:rsid w:val="00EF13D7"/>
    <w:rsid w:val="00EF165C"/>
    <w:rsid w:val="00EF1793"/>
    <w:rsid w:val="00EF18FE"/>
    <w:rsid w:val="00EF1C39"/>
    <w:rsid w:val="00EF1D99"/>
    <w:rsid w:val="00EF233A"/>
    <w:rsid w:val="00EF2D75"/>
    <w:rsid w:val="00EF2E8C"/>
    <w:rsid w:val="00EF2EA4"/>
    <w:rsid w:val="00EF3862"/>
    <w:rsid w:val="00EF3B06"/>
    <w:rsid w:val="00EF464D"/>
    <w:rsid w:val="00EF468F"/>
    <w:rsid w:val="00EF4872"/>
    <w:rsid w:val="00EF53AE"/>
    <w:rsid w:val="00EF5787"/>
    <w:rsid w:val="00EF6019"/>
    <w:rsid w:val="00EF60D0"/>
    <w:rsid w:val="00EF60DD"/>
    <w:rsid w:val="00EF60EB"/>
    <w:rsid w:val="00EF62AF"/>
    <w:rsid w:val="00EF63FA"/>
    <w:rsid w:val="00EF64BF"/>
    <w:rsid w:val="00EF6514"/>
    <w:rsid w:val="00EF68DB"/>
    <w:rsid w:val="00EF68E5"/>
    <w:rsid w:val="00EF6938"/>
    <w:rsid w:val="00EF6CB9"/>
    <w:rsid w:val="00EF6DF0"/>
    <w:rsid w:val="00EF73B1"/>
    <w:rsid w:val="00EF7A28"/>
    <w:rsid w:val="00EF7B48"/>
    <w:rsid w:val="00EF7C75"/>
    <w:rsid w:val="00EF7CF5"/>
    <w:rsid w:val="00F002B6"/>
    <w:rsid w:val="00F01277"/>
    <w:rsid w:val="00F01337"/>
    <w:rsid w:val="00F01D43"/>
    <w:rsid w:val="00F02068"/>
    <w:rsid w:val="00F02313"/>
    <w:rsid w:val="00F0240D"/>
    <w:rsid w:val="00F02539"/>
    <w:rsid w:val="00F025CD"/>
    <w:rsid w:val="00F02765"/>
    <w:rsid w:val="00F02DCF"/>
    <w:rsid w:val="00F03D8E"/>
    <w:rsid w:val="00F04264"/>
    <w:rsid w:val="00F043F0"/>
    <w:rsid w:val="00F04F8D"/>
    <w:rsid w:val="00F05154"/>
    <w:rsid w:val="00F051DF"/>
    <w:rsid w:val="00F0528D"/>
    <w:rsid w:val="00F052F1"/>
    <w:rsid w:val="00F05D11"/>
    <w:rsid w:val="00F06672"/>
    <w:rsid w:val="00F06968"/>
    <w:rsid w:val="00F06B9F"/>
    <w:rsid w:val="00F06C67"/>
    <w:rsid w:val="00F06DFD"/>
    <w:rsid w:val="00F06E60"/>
    <w:rsid w:val="00F071D1"/>
    <w:rsid w:val="00F072CA"/>
    <w:rsid w:val="00F07533"/>
    <w:rsid w:val="00F07A7E"/>
    <w:rsid w:val="00F07D8D"/>
    <w:rsid w:val="00F07EF6"/>
    <w:rsid w:val="00F10629"/>
    <w:rsid w:val="00F1148E"/>
    <w:rsid w:val="00F11D66"/>
    <w:rsid w:val="00F12187"/>
    <w:rsid w:val="00F122A5"/>
    <w:rsid w:val="00F1254A"/>
    <w:rsid w:val="00F12611"/>
    <w:rsid w:val="00F12B64"/>
    <w:rsid w:val="00F1304E"/>
    <w:rsid w:val="00F1304F"/>
    <w:rsid w:val="00F13079"/>
    <w:rsid w:val="00F135AA"/>
    <w:rsid w:val="00F135FF"/>
    <w:rsid w:val="00F13998"/>
    <w:rsid w:val="00F13E1E"/>
    <w:rsid w:val="00F142C2"/>
    <w:rsid w:val="00F1435C"/>
    <w:rsid w:val="00F1468E"/>
    <w:rsid w:val="00F149B8"/>
    <w:rsid w:val="00F14A7F"/>
    <w:rsid w:val="00F14D0B"/>
    <w:rsid w:val="00F14F7E"/>
    <w:rsid w:val="00F154FB"/>
    <w:rsid w:val="00F15E40"/>
    <w:rsid w:val="00F15FA5"/>
    <w:rsid w:val="00F166A5"/>
    <w:rsid w:val="00F17A95"/>
    <w:rsid w:val="00F17BAA"/>
    <w:rsid w:val="00F17BC6"/>
    <w:rsid w:val="00F20057"/>
    <w:rsid w:val="00F2020D"/>
    <w:rsid w:val="00F209B7"/>
    <w:rsid w:val="00F20CC3"/>
    <w:rsid w:val="00F211CC"/>
    <w:rsid w:val="00F21660"/>
    <w:rsid w:val="00F223C2"/>
    <w:rsid w:val="00F22527"/>
    <w:rsid w:val="00F2376F"/>
    <w:rsid w:val="00F243D8"/>
    <w:rsid w:val="00F248F5"/>
    <w:rsid w:val="00F25838"/>
    <w:rsid w:val="00F25DD3"/>
    <w:rsid w:val="00F25F40"/>
    <w:rsid w:val="00F26F4F"/>
    <w:rsid w:val="00F26FE5"/>
    <w:rsid w:val="00F27E67"/>
    <w:rsid w:val="00F3081C"/>
    <w:rsid w:val="00F30828"/>
    <w:rsid w:val="00F3110E"/>
    <w:rsid w:val="00F311BF"/>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E1E"/>
    <w:rsid w:val="00F40F0C"/>
    <w:rsid w:val="00F41031"/>
    <w:rsid w:val="00F41AB0"/>
    <w:rsid w:val="00F41BB8"/>
    <w:rsid w:val="00F42146"/>
    <w:rsid w:val="00F428B5"/>
    <w:rsid w:val="00F4307D"/>
    <w:rsid w:val="00F430EB"/>
    <w:rsid w:val="00F43281"/>
    <w:rsid w:val="00F4344B"/>
    <w:rsid w:val="00F4391D"/>
    <w:rsid w:val="00F4415E"/>
    <w:rsid w:val="00F44619"/>
    <w:rsid w:val="00F45158"/>
    <w:rsid w:val="00F45271"/>
    <w:rsid w:val="00F45E31"/>
    <w:rsid w:val="00F4602F"/>
    <w:rsid w:val="00F46495"/>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41C"/>
    <w:rsid w:val="00F627E6"/>
    <w:rsid w:val="00F62B0F"/>
    <w:rsid w:val="00F62B5E"/>
    <w:rsid w:val="00F6302A"/>
    <w:rsid w:val="00F630AB"/>
    <w:rsid w:val="00F632E4"/>
    <w:rsid w:val="00F636A1"/>
    <w:rsid w:val="00F64508"/>
    <w:rsid w:val="00F64522"/>
    <w:rsid w:val="00F64B21"/>
    <w:rsid w:val="00F64C2B"/>
    <w:rsid w:val="00F64CE6"/>
    <w:rsid w:val="00F651BE"/>
    <w:rsid w:val="00F65847"/>
    <w:rsid w:val="00F659DB"/>
    <w:rsid w:val="00F66399"/>
    <w:rsid w:val="00F664AA"/>
    <w:rsid w:val="00F66514"/>
    <w:rsid w:val="00F67407"/>
    <w:rsid w:val="00F676E5"/>
    <w:rsid w:val="00F67D0F"/>
    <w:rsid w:val="00F67F02"/>
    <w:rsid w:val="00F67F53"/>
    <w:rsid w:val="00F700F2"/>
    <w:rsid w:val="00F703BE"/>
    <w:rsid w:val="00F70476"/>
    <w:rsid w:val="00F7048C"/>
    <w:rsid w:val="00F70675"/>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9ED"/>
    <w:rsid w:val="00F74AA8"/>
    <w:rsid w:val="00F74BB9"/>
    <w:rsid w:val="00F750CD"/>
    <w:rsid w:val="00F75582"/>
    <w:rsid w:val="00F755B1"/>
    <w:rsid w:val="00F75B41"/>
    <w:rsid w:val="00F75C57"/>
    <w:rsid w:val="00F75FC1"/>
    <w:rsid w:val="00F76532"/>
    <w:rsid w:val="00F76D83"/>
    <w:rsid w:val="00F76EFA"/>
    <w:rsid w:val="00F77140"/>
    <w:rsid w:val="00F77411"/>
    <w:rsid w:val="00F77D6D"/>
    <w:rsid w:val="00F800CF"/>
    <w:rsid w:val="00F804BE"/>
    <w:rsid w:val="00F80604"/>
    <w:rsid w:val="00F80A9E"/>
    <w:rsid w:val="00F80AA7"/>
    <w:rsid w:val="00F80C5C"/>
    <w:rsid w:val="00F80F0D"/>
    <w:rsid w:val="00F813FF"/>
    <w:rsid w:val="00F817CE"/>
    <w:rsid w:val="00F82188"/>
    <w:rsid w:val="00F82DE4"/>
    <w:rsid w:val="00F834F9"/>
    <w:rsid w:val="00F83B41"/>
    <w:rsid w:val="00F83E4E"/>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D7B"/>
    <w:rsid w:val="00F87F60"/>
    <w:rsid w:val="00F9056A"/>
    <w:rsid w:val="00F908B4"/>
    <w:rsid w:val="00F90A97"/>
    <w:rsid w:val="00F90B93"/>
    <w:rsid w:val="00F90F8D"/>
    <w:rsid w:val="00F912AE"/>
    <w:rsid w:val="00F91731"/>
    <w:rsid w:val="00F920EC"/>
    <w:rsid w:val="00F9224C"/>
    <w:rsid w:val="00F924CE"/>
    <w:rsid w:val="00F925B0"/>
    <w:rsid w:val="00F92782"/>
    <w:rsid w:val="00F931C8"/>
    <w:rsid w:val="00F93796"/>
    <w:rsid w:val="00F939A2"/>
    <w:rsid w:val="00F93AA9"/>
    <w:rsid w:val="00F93D9D"/>
    <w:rsid w:val="00F93FEA"/>
    <w:rsid w:val="00F940CF"/>
    <w:rsid w:val="00F9413E"/>
    <w:rsid w:val="00F941DE"/>
    <w:rsid w:val="00F944CC"/>
    <w:rsid w:val="00F947B1"/>
    <w:rsid w:val="00F94853"/>
    <w:rsid w:val="00F94CCD"/>
    <w:rsid w:val="00F94E70"/>
    <w:rsid w:val="00F94EF8"/>
    <w:rsid w:val="00F95181"/>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5FC"/>
    <w:rsid w:val="00FA4A10"/>
    <w:rsid w:val="00FA4AB3"/>
    <w:rsid w:val="00FA4EB8"/>
    <w:rsid w:val="00FA597D"/>
    <w:rsid w:val="00FA59C1"/>
    <w:rsid w:val="00FA5C45"/>
    <w:rsid w:val="00FA5E59"/>
    <w:rsid w:val="00FA6E7A"/>
    <w:rsid w:val="00FA6FEE"/>
    <w:rsid w:val="00FA737B"/>
    <w:rsid w:val="00FA752E"/>
    <w:rsid w:val="00FA7EAB"/>
    <w:rsid w:val="00FB02DA"/>
    <w:rsid w:val="00FB076A"/>
    <w:rsid w:val="00FB07D3"/>
    <w:rsid w:val="00FB07F8"/>
    <w:rsid w:val="00FB10CE"/>
    <w:rsid w:val="00FB1E4D"/>
    <w:rsid w:val="00FB22F4"/>
    <w:rsid w:val="00FB23A7"/>
    <w:rsid w:val="00FB2443"/>
    <w:rsid w:val="00FB24CB"/>
    <w:rsid w:val="00FB24F8"/>
    <w:rsid w:val="00FB29EA"/>
    <w:rsid w:val="00FB2A07"/>
    <w:rsid w:val="00FB2AD7"/>
    <w:rsid w:val="00FB3BBC"/>
    <w:rsid w:val="00FB3EA2"/>
    <w:rsid w:val="00FB4823"/>
    <w:rsid w:val="00FB49B6"/>
    <w:rsid w:val="00FB4C80"/>
    <w:rsid w:val="00FB58F7"/>
    <w:rsid w:val="00FB6642"/>
    <w:rsid w:val="00FB6A6A"/>
    <w:rsid w:val="00FB6B24"/>
    <w:rsid w:val="00FB708B"/>
    <w:rsid w:val="00FB7125"/>
    <w:rsid w:val="00FB7B4B"/>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D5C"/>
    <w:rsid w:val="00FC3E25"/>
    <w:rsid w:val="00FC4903"/>
    <w:rsid w:val="00FC490A"/>
    <w:rsid w:val="00FC51FF"/>
    <w:rsid w:val="00FC5BCF"/>
    <w:rsid w:val="00FC5C41"/>
    <w:rsid w:val="00FC5EC2"/>
    <w:rsid w:val="00FC5FE9"/>
    <w:rsid w:val="00FC650B"/>
    <w:rsid w:val="00FC6B0B"/>
    <w:rsid w:val="00FC7085"/>
    <w:rsid w:val="00FC722B"/>
    <w:rsid w:val="00FC72E2"/>
    <w:rsid w:val="00FC73B5"/>
    <w:rsid w:val="00FC7429"/>
    <w:rsid w:val="00FD0200"/>
    <w:rsid w:val="00FD042D"/>
    <w:rsid w:val="00FD07F6"/>
    <w:rsid w:val="00FD0910"/>
    <w:rsid w:val="00FD19F6"/>
    <w:rsid w:val="00FD1A0A"/>
    <w:rsid w:val="00FD1E08"/>
    <w:rsid w:val="00FD1EC8"/>
    <w:rsid w:val="00FD2413"/>
    <w:rsid w:val="00FD2418"/>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38D"/>
    <w:rsid w:val="00FD6AFF"/>
    <w:rsid w:val="00FD6CC5"/>
    <w:rsid w:val="00FD7089"/>
    <w:rsid w:val="00FD7307"/>
    <w:rsid w:val="00FD74DB"/>
    <w:rsid w:val="00FD756D"/>
    <w:rsid w:val="00FD7642"/>
    <w:rsid w:val="00FD7660"/>
    <w:rsid w:val="00FD7B01"/>
    <w:rsid w:val="00FD7B31"/>
    <w:rsid w:val="00FE016B"/>
    <w:rsid w:val="00FE02B5"/>
    <w:rsid w:val="00FE0465"/>
    <w:rsid w:val="00FE05F5"/>
    <w:rsid w:val="00FE0655"/>
    <w:rsid w:val="00FE0D5F"/>
    <w:rsid w:val="00FE0FEC"/>
    <w:rsid w:val="00FE1207"/>
    <w:rsid w:val="00FE1626"/>
    <w:rsid w:val="00FE178D"/>
    <w:rsid w:val="00FE18C8"/>
    <w:rsid w:val="00FE1DC8"/>
    <w:rsid w:val="00FE2112"/>
    <w:rsid w:val="00FE219D"/>
    <w:rsid w:val="00FE2365"/>
    <w:rsid w:val="00FE2739"/>
    <w:rsid w:val="00FE277E"/>
    <w:rsid w:val="00FE2A41"/>
    <w:rsid w:val="00FE2BEB"/>
    <w:rsid w:val="00FE2DFE"/>
    <w:rsid w:val="00FE2FE4"/>
    <w:rsid w:val="00FE3359"/>
    <w:rsid w:val="00FE3485"/>
    <w:rsid w:val="00FE3528"/>
    <w:rsid w:val="00FE35A3"/>
    <w:rsid w:val="00FE3669"/>
    <w:rsid w:val="00FE3ACC"/>
    <w:rsid w:val="00FE3CC4"/>
    <w:rsid w:val="00FE3DF2"/>
    <w:rsid w:val="00FE3F74"/>
    <w:rsid w:val="00FE4342"/>
    <w:rsid w:val="00FE45B3"/>
    <w:rsid w:val="00FE4729"/>
    <w:rsid w:val="00FE4A14"/>
    <w:rsid w:val="00FE4BF2"/>
    <w:rsid w:val="00FE4C7B"/>
    <w:rsid w:val="00FE5824"/>
    <w:rsid w:val="00FE62AE"/>
    <w:rsid w:val="00FE6592"/>
    <w:rsid w:val="00FE6905"/>
    <w:rsid w:val="00FE6C2F"/>
    <w:rsid w:val="00FE721C"/>
    <w:rsid w:val="00FE7336"/>
    <w:rsid w:val="00FE775A"/>
    <w:rsid w:val="00FE787C"/>
    <w:rsid w:val="00FE7A8A"/>
    <w:rsid w:val="00FE7D4A"/>
    <w:rsid w:val="00FE7F1F"/>
    <w:rsid w:val="00FF0A82"/>
    <w:rsid w:val="00FF0A85"/>
    <w:rsid w:val="00FF10F2"/>
    <w:rsid w:val="00FF14AA"/>
    <w:rsid w:val="00FF1C1A"/>
    <w:rsid w:val="00FF1FE5"/>
    <w:rsid w:val="00FF2D42"/>
    <w:rsid w:val="00FF40D2"/>
    <w:rsid w:val="00FF4255"/>
    <w:rsid w:val="00FF45A5"/>
    <w:rsid w:val="00FF55A2"/>
    <w:rsid w:val="00FF5C91"/>
    <w:rsid w:val="00FF5EC1"/>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uiPriority w:val="9"/>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uiPriority w:val="9"/>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B541DA"/>
    <w:pPr>
      <w:outlineLvl w:val="3"/>
    </w:pPr>
    <w:rPr>
      <w:sz w:val="24"/>
      <w:szCs w:val="24"/>
    </w:rPr>
  </w:style>
  <w:style w:type="paragraph" w:styleId="Heading5">
    <w:name w:val="heading 5"/>
    <w:basedOn w:val="Heading4"/>
    <w:next w:val="Normal"/>
    <w:link w:val="Heading5Char"/>
    <w:uiPriority w:val="9"/>
    <w:qFormat/>
    <w:rsid w:val="00B541DA"/>
    <w:pPr>
      <w:outlineLvl w:val="4"/>
    </w:pPr>
    <w:rPr>
      <w:sz w:val="22"/>
      <w:szCs w:val="22"/>
    </w:rPr>
  </w:style>
  <w:style w:type="paragraph" w:styleId="Heading6">
    <w:name w:val="heading 6"/>
    <w:basedOn w:val="Normal"/>
    <w:next w:val="Normal"/>
    <w:link w:val="Heading6Char"/>
    <w:uiPriority w:val="9"/>
    <w:qFormat/>
    <w:rsid w:val="00B541DA"/>
    <w:pPr>
      <w:keepNext/>
      <w:keepLines/>
      <w:spacing w:before="120"/>
      <w:outlineLvl w:val="5"/>
    </w:pPr>
    <w:rPr>
      <w:rFonts w:cs="Arial"/>
    </w:rPr>
  </w:style>
  <w:style w:type="paragraph" w:styleId="Heading7">
    <w:name w:val="heading 7"/>
    <w:basedOn w:val="Normal"/>
    <w:next w:val="Normal"/>
    <w:link w:val="Heading7Char"/>
    <w:uiPriority w:val="9"/>
    <w:qFormat/>
    <w:rsid w:val="00B541DA"/>
    <w:pPr>
      <w:keepNext/>
      <w:keepLines/>
      <w:spacing w:before="120"/>
      <w:outlineLvl w:val="6"/>
    </w:pPr>
    <w:rPr>
      <w:rFonts w:cs="Arial"/>
    </w:rPr>
  </w:style>
  <w:style w:type="paragraph" w:styleId="Heading8">
    <w:name w:val="heading 8"/>
    <w:basedOn w:val="Heading7"/>
    <w:next w:val="Normal"/>
    <w:link w:val="Heading8Char"/>
    <w:uiPriority w:val="9"/>
    <w:qFormat/>
    <w:rsid w:val="00B541DA"/>
    <w:pPr>
      <w:outlineLvl w:val="7"/>
    </w:pPr>
  </w:style>
  <w:style w:type="paragraph" w:styleId="Heading9">
    <w:name w:val="heading 9"/>
    <w:basedOn w:val="Heading8"/>
    <w:next w:val="Normal"/>
    <w:link w:val="Heading9Char"/>
    <w:uiPriority w:val="9"/>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eastAsia="en-US"/>
    </w:rPr>
  </w:style>
  <w:style w:type="paragraph" w:styleId="HTMLPreformatted">
    <w:name w:val="HTML Preformatted"/>
    <w:basedOn w:val="Normal"/>
    <w:link w:val="HTMLPreformattedChar"/>
    <w:rsid w:val="00A15B67"/>
    <w:pPr>
      <w:spacing w:after="0"/>
    </w:pPr>
    <w:rPr>
      <w:rFonts w:ascii="Consolas" w:hAnsi="Consolas"/>
    </w:rPr>
  </w:style>
  <w:style w:type="character" w:customStyle="1" w:styleId="HTMLPreformattedChar">
    <w:name w:val="HTML Preformatted Char"/>
    <w:basedOn w:val="DefaultParagraphFont"/>
    <w:link w:val="HTMLPreformatted"/>
    <w:rsid w:val="00A15B67"/>
    <w:rPr>
      <w:rFonts w:ascii="Consolas" w:hAnsi="Consolas"/>
      <w:lang w:val="en-GB" w:eastAsia="zh-CN"/>
    </w:rPr>
  </w:style>
  <w:style w:type="character" w:styleId="UnresolvedMention">
    <w:name w:val="Unresolved Mention"/>
    <w:basedOn w:val="DefaultParagraphFont"/>
    <w:uiPriority w:val="99"/>
    <w:semiHidden/>
    <w:unhideWhenUsed/>
    <w:rsid w:val="00B35EFD"/>
    <w:rPr>
      <w:color w:val="605E5C"/>
      <w:shd w:val="clear" w:color="auto" w:fill="E1DFDD"/>
    </w:rPr>
  </w:style>
  <w:style w:type="table" w:customStyle="1" w:styleId="TableGrid2">
    <w:name w:val="Table Grid2"/>
    <w:basedOn w:val="TableNormal"/>
    <w:next w:val="TableGrid"/>
    <w:uiPriority w:val="99"/>
    <w:qFormat/>
    <w:rsid w:val="003F75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sBox">
    <w:name w:val="AgreementsBox"/>
    <w:basedOn w:val="Normal"/>
    <w:qFormat/>
    <w:rsid w:val="003F75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textAlignment w:val="auto"/>
    </w:pPr>
    <w:rPr>
      <w:rFonts w:eastAsia="MS Mincho"/>
      <w:szCs w:val="24"/>
      <w:lang w:eastAsia="en-GB"/>
    </w:rPr>
  </w:style>
  <w:style w:type="character" w:customStyle="1" w:styleId="NOZchn">
    <w:name w:val="NO Zchn"/>
    <w:locked/>
    <w:rsid w:val="00235630"/>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723">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1908999">
      <w:bodyDiv w:val="1"/>
      <w:marLeft w:val="0"/>
      <w:marRight w:val="0"/>
      <w:marTop w:val="0"/>
      <w:marBottom w:val="0"/>
      <w:divBdr>
        <w:top w:val="none" w:sz="0" w:space="0" w:color="auto"/>
        <w:left w:val="none" w:sz="0" w:space="0" w:color="auto"/>
        <w:bottom w:val="none" w:sz="0" w:space="0" w:color="auto"/>
        <w:right w:val="none" w:sz="0" w:space="0" w:color="auto"/>
      </w:divBdr>
    </w:div>
    <w:div w:id="71393661">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43737950">
      <w:bodyDiv w:val="1"/>
      <w:marLeft w:val="0"/>
      <w:marRight w:val="0"/>
      <w:marTop w:val="0"/>
      <w:marBottom w:val="0"/>
      <w:divBdr>
        <w:top w:val="none" w:sz="0" w:space="0" w:color="auto"/>
        <w:left w:val="none" w:sz="0" w:space="0" w:color="auto"/>
        <w:bottom w:val="none" w:sz="0" w:space="0" w:color="auto"/>
        <w:right w:val="none" w:sz="0" w:space="0" w:color="auto"/>
      </w:divBdr>
    </w:div>
    <w:div w:id="186724502">
      <w:bodyDiv w:val="1"/>
      <w:marLeft w:val="0"/>
      <w:marRight w:val="0"/>
      <w:marTop w:val="0"/>
      <w:marBottom w:val="0"/>
      <w:divBdr>
        <w:top w:val="none" w:sz="0" w:space="0" w:color="auto"/>
        <w:left w:val="none" w:sz="0" w:space="0" w:color="auto"/>
        <w:bottom w:val="none" w:sz="0" w:space="0" w:color="auto"/>
        <w:right w:val="none" w:sz="0" w:space="0" w:color="auto"/>
      </w:divBdr>
    </w:div>
    <w:div w:id="19897380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6691672">
      <w:bodyDiv w:val="1"/>
      <w:marLeft w:val="0"/>
      <w:marRight w:val="0"/>
      <w:marTop w:val="0"/>
      <w:marBottom w:val="0"/>
      <w:divBdr>
        <w:top w:val="none" w:sz="0" w:space="0" w:color="auto"/>
        <w:left w:val="none" w:sz="0" w:space="0" w:color="auto"/>
        <w:bottom w:val="none" w:sz="0" w:space="0" w:color="auto"/>
        <w:right w:val="none" w:sz="0" w:space="0" w:color="auto"/>
      </w:divBdr>
    </w:div>
    <w:div w:id="247620327">
      <w:bodyDiv w:val="1"/>
      <w:marLeft w:val="0"/>
      <w:marRight w:val="0"/>
      <w:marTop w:val="0"/>
      <w:marBottom w:val="0"/>
      <w:divBdr>
        <w:top w:val="none" w:sz="0" w:space="0" w:color="auto"/>
        <w:left w:val="none" w:sz="0" w:space="0" w:color="auto"/>
        <w:bottom w:val="none" w:sz="0" w:space="0" w:color="auto"/>
        <w:right w:val="none" w:sz="0" w:space="0" w:color="auto"/>
      </w:divBdr>
    </w:div>
    <w:div w:id="253784440">
      <w:bodyDiv w:val="1"/>
      <w:marLeft w:val="0"/>
      <w:marRight w:val="0"/>
      <w:marTop w:val="0"/>
      <w:marBottom w:val="0"/>
      <w:divBdr>
        <w:top w:val="none" w:sz="0" w:space="0" w:color="auto"/>
        <w:left w:val="none" w:sz="0" w:space="0" w:color="auto"/>
        <w:bottom w:val="none" w:sz="0" w:space="0" w:color="auto"/>
        <w:right w:val="none" w:sz="0" w:space="0" w:color="auto"/>
      </w:divBdr>
    </w:div>
    <w:div w:id="261576815">
      <w:bodyDiv w:val="1"/>
      <w:marLeft w:val="0"/>
      <w:marRight w:val="0"/>
      <w:marTop w:val="0"/>
      <w:marBottom w:val="0"/>
      <w:divBdr>
        <w:top w:val="none" w:sz="0" w:space="0" w:color="auto"/>
        <w:left w:val="none" w:sz="0" w:space="0" w:color="auto"/>
        <w:bottom w:val="none" w:sz="0" w:space="0" w:color="auto"/>
        <w:right w:val="none" w:sz="0" w:space="0" w:color="auto"/>
      </w:divBdr>
    </w:div>
    <w:div w:id="31511169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12318352">
      <w:bodyDiv w:val="1"/>
      <w:marLeft w:val="0"/>
      <w:marRight w:val="0"/>
      <w:marTop w:val="0"/>
      <w:marBottom w:val="0"/>
      <w:divBdr>
        <w:top w:val="none" w:sz="0" w:space="0" w:color="auto"/>
        <w:left w:val="none" w:sz="0" w:space="0" w:color="auto"/>
        <w:bottom w:val="none" w:sz="0" w:space="0" w:color="auto"/>
        <w:right w:val="none" w:sz="0" w:space="0" w:color="auto"/>
      </w:divBdr>
    </w:div>
    <w:div w:id="430663776">
      <w:bodyDiv w:val="1"/>
      <w:marLeft w:val="0"/>
      <w:marRight w:val="0"/>
      <w:marTop w:val="0"/>
      <w:marBottom w:val="0"/>
      <w:divBdr>
        <w:top w:val="none" w:sz="0" w:space="0" w:color="auto"/>
        <w:left w:val="none" w:sz="0" w:space="0" w:color="auto"/>
        <w:bottom w:val="none" w:sz="0" w:space="0" w:color="auto"/>
        <w:right w:val="none" w:sz="0" w:space="0" w:color="auto"/>
      </w:divBdr>
    </w:div>
    <w:div w:id="441194630">
      <w:bodyDiv w:val="1"/>
      <w:marLeft w:val="0"/>
      <w:marRight w:val="0"/>
      <w:marTop w:val="0"/>
      <w:marBottom w:val="0"/>
      <w:divBdr>
        <w:top w:val="none" w:sz="0" w:space="0" w:color="auto"/>
        <w:left w:val="none" w:sz="0" w:space="0" w:color="auto"/>
        <w:bottom w:val="none" w:sz="0" w:space="0" w:color="auto"/>
        <w:right w:val="none" w:sz="0" w:space="0" w:color="auto"/>
      </w:divBdr>
    </w:div>
    <w:div w:id="45194922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9984826">
      <w:bodyDiv w:val="1"/>
      <w:marLeft w:val="0"/>
      <w:marRight w:val="0"/>
      <w:marTop w:val="0"/>
      <w:marBottom w:val="0"/>
      <w:divBdr>
        <w:top w:val="none" w:sz="0" w:space="0" w:color="auto"/>
        <w:left w:val="none" w:sz="0" w:space="0" w:color="auto"/>
        <w:bottom w:val="none" w:sz="0" w:space="0" w:color="auto"/>
        <w:right w:val="none" w:sz="0" w:space="0" w:color="auto"/>
      </w:divBdr>
    </w:div>
    <w:div w:id="489446997">
      <w:bodyDiv w:val="1"/>
      <w:marLeft w:val="0"/>
      <w:marRight w:val="0"/>
      <w:marTop w:val="0"/>
      <w:marBottom w:val="0"/>
      <w:divBdr>
        <w:top w:val="none" w:sz="0" w:space="0" w:color="auto"/>
        <w:left w:val="none" w:sz="0" w:space="0" w:color="auto"/>
        <w:bottom w:val="none" w:sz="0" w:space="0" w:color="auto"/>
        <w:right w:val="none" w:sz="0" w:space="0" w:color="auto"/>
      </w:divBdr>
    </w:div>
    <w:div w:id="492334098">
      <w:bodyDiv w:val="1"/>
      <w:marLeft w:val="0"/>
      <w:marRight w:val="0"/>
      <w:marTop w:val="0"/>
      <w:marBottom w:val="0"/>
      <w:divBdr>
        <w:top w:val="none" w:sz="0" w:space="0" w:color="auto"/>
        <w:left w:val="none" w:sz="0" w:space="0" w:color="auto"/>
        <w:bottom w:val="none" w:sz="0" w:space="0" w:color="auto"/>
        <w:right w:val="none" w:sz="0" w:space="0" w:color="auto"/>
      </w:divBdr>
    </w:div>
    <w:div w:id="527987005">
      <w:bodyDiv w:val="1"/>
      <w:marLeft w:val="0"/>
      <w:marRight w:val="0"/>
      <w:marTop w:val="0"/>
      <w:marBottom w:val="0"/>
      <w:divBdr>
        <w:top w:val="none" w:sz="0" w:space="0" w:color="auto"/>
        <w:left w:val="none" w:sz="0" w:space="0" w:color="auto"/>
        <w:bottom w:val="none" w:sz="0" w:space="0" w:color="auto"/>
        <w:right w:val="none" w:sz="0" w:space="0" w:color="auto"/>
      </w:divBdr>
    </w:div>
    <w:div w:id="537669597">
      <w:bodyDiv w:val="1"/>
      <w:marLeft w:val="0"/>
      <w:marRight w:val="0"/>
      <w:marTop w:val="0"/>
      <w:marBottom w:val="0"/>
      <w:divBdr>
        <w:top w:val="none" w:sz="0" w:space="0" w:color="auto"/>
        <w:left w:val="none" w:sz="0" w:space="0" w:color="auto"/>
        <w:bottom w:val="none" w:sz="0" w:space="0" w:color="auto"/>
        <w:right w:val="none" w:sz="0" w:space="0" w:color="auto"/>
      </w:divBdr>
    </w:div>
    <w:div w:id="540241821">
      <w:bodyDiv w:val="1"/>
      <w:marLeft w:val="0"/>
      <w:marRight w:val="0"/>
      <w:marTop w:val="0"/>
      <w:marBottom w:val="0"/>
      <w:divBdr>
        <w:top w:val="none" w:sz="0" w:space="0" w:color="auto"/>
        <w:left w:val="none" w:sz="0" w:space="0" w:color="auto"/>
        <w:bottom w:val="none" w:sz="0" w:space="0" w:color="auto"/>
        <w:right w:val="none" w:sz="0" w:space="0" w:color="auto"/>
      </w:divBdr>
    </w:div>
    <w:div w:id="54063042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4291853">
      <w:bodyDiv w:val="1"/>
      <w:marLeft w:val="0"/>
      <w:marRight w:val="0"/>
      <w:marTop w:val="0"/>
      <w:marBottom w:val="0"/>
      <w:divBdr>
        <w:top w:val="none" w:sz="0" w:space="0" w:color="auto"/>
        <w:left w:val="none" w:sz="0" w:space="0" w:color="auto"/>
        <w:bottom w:val="none" w:sz="0" w:space="0" w:color="auto"/>
        <w:right w:val="none" w:sz="0" w:space="0" w:color="auto"/>
      </w:divBdr>
    </w:div>
    <w:div w:id="547961649">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22421891">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1356325">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5153524">
      <w:bodyDiv w:val="1"/>
      <w:marLeft w:val="0"/>
      <w:marRight w:val="0"/>
      <w:marTop w:val="0"/>
      <w:marBottom w:val="0"/>
      <w:divBdr>
        <w:top w:val="none" w:sz="0" w:space="0" w:color="auto"/>
        <w:left w:val="none" w:sz="0" w:space="0" w:color="auto"/>
        <w:bottom w:val="none" w:sz="0" w:space="0" w:color="auto"/>
        <w:right w:val="none" w:sz="0" w:space="0" w:color="auto"/>
      </w:divBdr>
    </w:div>
    <w:div w:id="682366063">
      <w:bodyDiv w:val="1"/>
      <w:marLeft w:val="0"/>
      <w:marRight w:val="0"/>
      <w:marTop w:val="0"/>
      <w:marBottom w:val="0"/>
      <w:divBdr>
        <w:top w:val="none" w:sz="0" w:space="0" w:color="auto"/>
        <w:left w:val="none" w:sz="0" w:space="0" w:color="auto"/>
        <w:bottom w:val="none" w:sz="0" w:space="0" w:color="auto"/>
        <w:right w:val="none" w:sz="0" w:space="0" w:color="auto"/>
      </w:divBdr>
    </w:div>
    <w:div w:id="72476520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098550">
      <w:bodyDiv w:val="1"/>
      <w:marLeft w:val="0"/>
      <w:marRight w:val="0"/>
      <w:marTop w:val="0"/>
      <w:marBottom w:val="0"/>
      <w:divBdr>
        <w:top w:val="none" w:sz="0" w:space="0" w:color="auto"/>
        <w:left w:val="none" w:sz="0" w:space="0" w:color="auto"/>
        <w:bottom w:val="none" w:sz="0" w:space="0" w:color="auto"/>
        <w:right w:val="none" w:sz="0" w:space="0" w:color="auto"/>
      </w:divBdr>
    </w:div>
    <w:div w:id="762800399">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70267">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43979491">
      <w:bodyDiv w:val="1"/>
      <w:marLeft w:val="0"/>
      <w:marRight w:val="0"/>
      <w:marTop w:val="0"/>
      <w:marBottom w:val="0"/>
      <w:divBdr>
        <w:top w:val="none" w:sz="0" w:space="0" w:color="auto"/>
        <w:left w:val="none" w:sz="0" w:space="0" w:color="auto"/>
        <w:bottom w:val="none" w:sz="0" w:space="0" w:color="auto"/>
        <w:right w:val="none" w:sz="0" w:space="0" w:color="auto"/>
      </w:divBdr>
    </w:div>
    <w:div w:id="854734590">
      <w:bodyDiv w:val="1"/>
      <w:marLeft w:val="0"/>
      <w:marRight w:val="0"/>
      <w:marTop w:val="0"/>
      <w:marBottom w:val="0"/>
      <w:divBdr>
        <w:top w:val="none" w:sz="0" w:space="0" w:color="auto"/>
        <w:left w:val="none" w:sz="0" w:space="0" w:color="auto"/>
        <w:bottom w:val="none" w:sz="0" w:space="0" w:color="auto"/>
        <w:right w:val="none" w:sz="0" w:space="0" w:color="auto"/>
      </w:divBdr>
    </w:div>
    <w:div w:id="861356285">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8723497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0427646">
      <w:bodyDiv w:val="1"/>
      <w:marLeft w:val="0"/>
      <w:marRight w:val="0"/>
      <w:marTop w:val="0"/>
      <w:marBottom w:val="0"/>
      <w:divBdr>
        <w:top w:val="none" w:sz="0" w:space="0" w:color="auto"/>
        <w:left w:val="none" w:sz="0" w:space="0" w:color="auto"/>
        <w:bottom w:val="none" w:sz="0" w:space="0" w:color="auto"/>
        <w:right w:val="none" w:sz="0" w:space="0" w:color="auto"/>
      </w:divBdr>
    </w:div>
    <w:div w:id="945042590">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49899212">
      <w:bodyDiv w:val="1"/>
      <w:marLeft w:val="0"/>
      <w:marRight w:val="0"/>
      <w:marTop w:val="0"/>
      <w:marBottom w:val="0"/>
      <w:divBdr>
        <w:top w:val="none" w:sz="0" w:space="0" w:color="auto"/>
        <w:left w:val="none" w:sz="0" w:space="0" w:color="auto"/>
        <w:bottom w:val="none" w:sz="0" w:space="0" w:color="auto"/>
        <w:right w:val="none" w:sz="0" w:space="0" w:color="auto"/>
      </w:divBdr>
    </w:div>
    <w:div w:id="954478649">
      <w:bodyDiv w:val="1"/>
      <w:marLeft w:val="0"/>
      <w:marRight w:val="0"/>
      <w:marTop w:val="0"/>
      <w:marBottom w:val="0"/>
      <w:divBdr>
        <w:top w:val="none" w:sz="0" w:space="0" w:color="auto"/>
        <w:left w:val="none" w:sz="0" w:space="0" w:color="auto"/>
        <w:bottom w:val="none" w:sz="0" w:space="0" w:color="auto"/>
        <w:right w:val="none" w:sz="0" w:space="0" w:color="auto"/>
      </w:divBdr>
    </w:div>
    <w:div w:id="955940146">
      <w:bodyDiv w:val="1"/>
      <w:marLeft w:val="0"/>
      <w:marRight w:val="0"/>
      <w:marTop w:val="0"/>
      <w:marBottom w:val="0"/>
      <w:divBdr>
        <w:top w:val="none" w:sz="0" w:space="0" w:color="auto"/>
        <w:left w:val="none" w:sz="0" w:space="0" w:color="auto"/>
        <w:bottom w:val="none" w:sz="0" w:space="0" w:color="auto"/>
        <w:right w:val="none" w:sz="0" w:space="0" w:color="auto"/>
      </w:divBdr>
    </w:div>
    <w:div w:id="962804968">
      <w:bodyDiv w:val="1"/>
      <w:marLeft w:val="0"/>
      <w:marRight w:val="0"/>
      <w:marTop w:val="0"/>
      <w:marBottom w:val="0"/>
      <w:divBdr>
        <w:top w:val="none" w:sz="0" w:space="0" w:color="auto"/>
        <w:left w:val="none" w:sz="0" w:space="0" w:color="auto"/>
        <w:bottom w:val="none" w:sz="0" w:space="0" w:color="auto"/>
        <w:right w:val="none" w:sz="0" w:space="0" w:color="auto"/>
      </w:divBdr>
    </w:div>
    <w:div w:id="1012026988">
      <w:bodyDiv w:val="1"/>
      <w:marLeft w:val="0"/>
      <w:marRight w:val="0"/>
      <w:marTop w:val="0"/>
      <w:marBottom w:val="0"/>
      <w:divBdr>
        <w:top w:val="none" w:sz="0" w:space="0" w:color="auto"/>
        <w:left w:val="none" w:sz="0" w:space="0" w:color="auto"/>
        <w:bottom w:val="none" w:sz="0" w:space="0" w:color="auto"/>
        <w:right w:val="none" w:sz="0" w:space="0" w:color="auto"/>
      </w:divBdr>
    </w:div>
    <w:div w:id="1022897832">
      <w:bodyDiv w:val="1"/>
      <w:marLeft w:val="0"/>
      <w:marRight w:val="0"/>
      <w:marTop w:val="0"/>
      <w:marBottom w:val="0"/>
      <w:divBdr>
        <w:top w:val="none" w:sz="0" w:space="0" w:color="auto"/>
        <w:left w:val="none" w:sz="0" w:space="0" w:color="auto"/>
        <w:bottom w:val="none" w:sz="0" w:space="0" w:color="auto"/>
        <w:right w:val="none" w:sz="0" w:space="0" w:color="auto"/>
      </w:divBdr>
    </w:div>
    <w:div w:id="1036734110">
      <w:bodyDiv w:val="1"/>
      <w:marLeft w:val="0"/>
      <w:marRight w:val="0"/>
      <w:marTop w:val="0"/>
      <w:marBottom w:val="0"/>
      <w:divBdr>
        <w:top w:val="none" w:sz="0" w:space="0" w:color="auto"/>
        <w:left w:val="none" w:sz="0" w:space="0" w:color="auto"/>
        <w:bottom w:val="none" w:sz="0" w:space="0" w:color="auto"/>
        <w:right w:val="none" w:sz="0" w:space="0" w:color="auto"/>
      </w:divBdr>
    </w:div>
    <w:div w:id="1057361806">
      <w:bodyDiv w:val="1"/>
      <w:marLeft w:val="0"/>
      <w:marRight w:val="0"/>
      <w:marTop w:val="0"/>
      <w:marBottom w:val="0"/>
      <w:divBdr>
        <w:top w:val="none" w:sz="0" w:space="0" w:color="auto"/>
        <w:left w:val="none" w:sz="0" w:space="0" w:color="auto"/>
        <w:bottom w:val="none" w:sz="0" w:space="0" w:color="auto"/>
        <w:right w:val="none" w:sz="0" w:space="0" w:color="auto"/>
      </w:divBdr>
    </w:div>
    <w:div w:id="1061252398">
      <w:bodyDiv w:val="1"/>
      <w:marLeft w:val="0"/>
      <w:marRight w:val="0"/>
      <w:marTop w:val="0"/>
      <w:marBottom w:val="0"/>
      <w:divBdr>
        <w:top w:val="none" w:sz="0" w:space="0" w:color="auto"/>
        <w:left w:val="none" w:sz="0" w:space="0" w:color="auto"/>
        <w:bottom w:val="none" w:sz="0" w:space="0" w:color="auto"/>
        <w:right w:val="none" w:sz="0" w:space="0" w:color="auto"/>
      </w:divBdr>
    </w:div>
    <w:div w:id="107767500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1417162">
      <w:bodyDiv w:val="1"/>
      <w:marLeft w:val="0"/>
      <w:marRight w:val="0"/>
      <w:marTop w:val="0"/>
      <w:marBottom w:val="0"/>
      <w:divBdr>
        <w:top w:val="none" w:sz="0" w:space="0" w:color="auto"/>
        <w:left w:val="none" w:sz="0" w:space="0" w:color="auto"/>
        <w:bottom w:val="none" w:sz="0" w:space="0" w:color="auto"/>
        <w:right w:val="none" w:sz="0" w:space="0" w:color="auto"/>
      </w:divBdr>
    </w:div>
    <w:div w:id="1102072656">
      <w:bodyDiv w:val="1"/>
      <w:marLeft w:val="0"/>
      <w:marRight w:val="0"/>
      <w:marTop w:val="0"/>
      <w:marBottom w:val="0"/>
      <w:divBdr>
        <w:top w:val="none" w:sz="0" w:space="0" w:color="auto"/>
        <w:left w:val="none" w:sz="0" w:space="0" w:color="auto"/>
        <w:bottom w:val="none" w:sz="0" w:space="0" w:color="auto"/>
        <w:right w:val="none" w:sz="0" w:space="0" w:color="auto"/>
      </w:divBdr>
    </w:div>
    <w:div w:id="1120800028">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277157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3156224">
      <w:bodyDiv w:val="1"/>
      <w:marLeft w:val="0"/>
      <w:marRight w:val="0"/>
      <w:marTop w:val="0"/>
      <w:marBottom w:val="0"/>
      <w:divBdr>
        <w:top w:val="none" w:sz="0" w:space="0" w:color="auto"/>
        <w:left w:val="none" w:sz="0" w:space="0" w:color="auto"/>
        <w:bottom w:val="none" w:sz="0" w:space="0" w:color="auto"/>
        <w:right w:val="none" w:sz="0" w:space="0" w:color="auto"/>
      </w:divBdr>
    </w:div>
    <w:div w:id="1177580700">
      <w:bodyDiv w:val="1"/>
      <w:marLeft w:val="0"/>
      <w:marRight w:val="0"/>
      <w:marTop w:val="0"/>
      <w:marBottom w:val="0"/>
      <w:divBdr>
        <w:top w:val="none" w:sz="0" w:space="0" w:color="auto"/>
        <w:left w:val="none" w:sz="0" w:space="0" w:color="auto"/>
        <w:bottom w:val="none" w:sz="0" w:space="0" w:color="auto"/>
        <w:right w:val="none" w:sz="0" w:space="0" w:color="auto"/>
      </w:divBdr>
    </w:div>
    <w:div w:id="1178695799">
      <w:bodyDiv w:val="1"/>
      <w:marLeft w:val="0"/>
      <w:marRight w:val="0"/>
      <w:marTop w:val="0"/>
      <w:marBottom w:val="0"/>
      <w:divBdr>
        <w:top w:val="none" w:sz="0" w:space="0" w:color="auto"/>
        <w:left w:val="none" w:sz="0" w:space="0" w:color="auto"/>
        <w:bottom w:val="none" w:sz="0" w:space="0" w:color="auto"/>
        <w:right w:val="none" w:sz="0" w:space="0" w:color="auto"/>
      </w:divBdr>
    </w:div>
    <w:div w:id="1214732156">
      <w:bodyDiv w:val="1"/>
      <w:marLeft w:val="0"/>
      <w:marRight w:val="0"/>
      <w:marTop w:val="0"/>
      <w:marBottom w:val="0"/>
      <w:divBdr>
        <w:top w:val="none" w:sz="0" w:space="0" w:color="auto"/>
        <w:left w:val="none" w:sz="0" w:space="0" w:color="auto"/>
        <w:bottom w:val="none" w:sz="0" w:space="0" w:color="auto"/>
        <w:right w:val="none" w:sz="0" w:space="0" w:color="auto"/>
      </w:divBdr>
    </w:div>
    <w:div w:id="12504320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3242883">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8002673">
      <w:bodyDiv w:val="1"/>
      <w:marLeft w:val="0"/>
      <w:marRight w:val="0"/>
      <w:marTop w:val="0"/>
      <w:marBottom w:val="0"/>
      <w:divBdr>
        <w:top w:val="none" w:sz="0" w:space="0" w:color="auto"/>
        <w:left w:val="none" w:sz="0" w:space="0" w:color="auto"/>
        <w:bottom w:val="none" w:sz="0" w:space="0" w:color="auto"/>
        <w:right w:val="none" w:sz="0" w:space="0" w:color="auto"/>
      </w:divBdr>
    </w:div>
    <w:div w:id="1288506381">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55183901">
      <w:bodyDiv w:val="1"/>
      <w:marLeft w:val="0"/>
      <w:marRight w:val="0"/>
      <w:marTop w:val="0"/>
      <w:marBottom w:val="0"/>
      <w:divBdr>
        <w:top w:val="none" w:sz="0" w:space="0" w:color="auto"/>
        <w:left w:val="none" w:sz="0" w:space="0" w:color="auto"/>
        <w:bottom w:val="none" w:sz="0" w:space="0" w:color="auto"/>
        <w:right w:val="none" w:sz="0" w:space="0" w:color="auto"/>
      </w:divBdr>
    </w:div>
    <w:div w:id="1362391772">
      <w:bodyDiv w:val="1"/>
      <w:marLeft w:val="0"/>
      <w:marRight w:val="0"/>
      <w:marTop w:val="0"/>
      <w:marBottom w:val="0"/>
      <w:divBdr>
        <w:top w:val="none" w:sz="0" w:space="0" w:color="auto"/>
        <w:left w:val="none" w:sz="0" w:space="0" w:color="auto"/>
        <w:bottom w:val="none" w:sz="0" w:space="0" w:color="auto"/>
        <w:right w:val="none" w:sz="0" w:space="0" w:color="auto"/>
      </w:divBdr>
    </w:div>
    <w:div w:id="1367213515">
      <w:bodyDiv w:val="1"/>
      <w:marLeft w:val="0"/>
      <w:marRight w:val="0"/>
      <w:marTop w:val="0"/>
      <w:marBottom w:val="0"/>
      <w:divBdr>
        <w:top w:val="none" w:sz="0" w:space="0" w:color="auto"/>
        <w:left w:val="none" w:sz="0" w:space="0" w:color="auto"/>
        <w:bottom w:val="none" w:sz="0" w:space="0" w:color="auto"/>
        <w:right w:val="none" w:sz="0" w:space="0" w:color="auto"/>
      </w:divBdr>
    </w:div>
    <w:div w:id="1371609987">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068728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3986944">
      <w:bodyDiv w:val="1"/>
      <w:marLeft w:val="0"/>
      <w:marRight w:val="0"/>
      <w:marTop w:val="0"/>
      <w:marBottom w:val="0"/>
      <w:divBdr>
        <w:top w:val="none" w:sz="0" w:space="0" w:color="auto"/>
        <w:left w:val="none" w:sz="0" w:space="0" w:color="auto"/>
        <w:bottom w:val="none" w:sz="0" w:space="0" w:color="auto"/>
        <w:right w:val="none" w:sz="0" w:space="0" w:color="auto"/>
      </w:divBdr>
    </w:div>
    <w:div w:id="1476332612">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490098190">
      <w:bodyDiv w:val="1"/>
      <w:marLeft w:val="0"/>
      <w:marRight w:val="0"/>
      <w:marTop w:val="0"/>
      <w:marBottom w:val="0"/>
      <w:divBdr>
        <w:top w:val="none" w:sz="0" w:space="0" w:color="auto"/>
        <w:left w:val="none" w:sz="0" w:space="0" w:color="auto"/>
        <w:bottom w:val="none" w:sz="0" w:space="0" w:color="auto"/>
        <w:right w:val="none" w:sz="0" w:space="0" w:color="auto"/>
      </w:divBdr>
    </w:div>
    <w:div w:id="1490242772">
      <w:bodyDiv w:val="1"/>
      <w:marLeft w:val="0"/>
      <w:marRight w:val="0"/>
      <w:marTop w:val="0"/>
      <w:marBottom w:val="0"/>
      <w:divBdr>
        <w:top w:val="none" w:sz="0" w:space="0" w:color="auto"/>
        <w:left w:val="none" w:sz="0" w:space="0" w:color="auto"/>
        <w:bottom w:val="none" w:sz="0" w:space="0" w:color="auto"/>
        <w:right w:val="none" w:sz="0" w:space="0" w:color="auto"/>
      </w:divBdr>
    </w:div>
    <w:div w:id="1498419375">
      <w:bodyDiv w:val="1"/>
      <w:marLeft w:val="0"/>
      <w:marRight w:val="0"/>
      <w:marTop w:val="0"/>
      <w:marBottom w:val="0"/>
      <w:divBdr>
        <w:top w:val="none" w:sz="0" w:space="0" w:color="auto"/>
        <w:left w:val="none" w:sz="0" w:space="0" w:color="auto"/>
        <w:bottom w:val="none" w:sz="0" w:space="0" w:color="auto"/>
        <w:right w:val="none" w:sz="0" w:space="0" w:color="auto"/>
      </w:divBdr>
    </w:div>
    <w:div w:id="1512139529">
      <w:bodyDiv w:val="1"/>
      <w:marLeft w:val="0"/>
      <w:marRight w:val="0"/>
      <w:marTop w:val="0"/>
      <w:marBottom w:val="0"/>
      <w:divBdr>
        <w:top w:val="none" w:sz="0" w:space="0" w:color="auto"/>
        <w:left w:val="none" w:sz="0" w:space="0" w:color="auto"/>
        <w:bottom w:val="none" w:sz="0" w:space="0" w:color="auto"/>
        <w:right w:val="none" w:sz="0" w:space="0" w:color="auto"/>
      </w:divBdr>
    </w:div>
    <w:div w:id="1522352329">
      <w:bodyDiv w:val="1"/>
      <w:marLeft w:val="0"/>
      <w:marRight w:val="0"/>
      <w:marTop w:val="0"/>
      <w:marBottom w:val="0"/>
      <w:divBdr>
        <w:top w:val="none" w:sz="0" w:space="0" w:color="auto"/>
        <w:left w:val="none" w:sz="0" w:space="0" w:color="auto"/>
        <w:bottom w:val="none" w:sz="0" w:space="0" w:color="auto"/>
        <w:right w:val="none" w:sz="0" w:space="0" w:color="auto"/>
      </w:divBdr>
    </w:div>
    <w:div w:id="152563290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31521684">
      <w:bodyDiv w:val="1"/>
      <w:marLeft w:val="0"/>
      <w:marRight w:val="0"/>
      <w:marTop w:val="0"/>
      <w:marBottom w:val="0"/>
      <w:divBdr>
        <w:top w:val="none" w:sz="0" w:space="0" w:color="auto"/>
        <w:left w:val="none" w:sz="0" w:space="0" w:color="auto"/>
        <w:bottom w:val="none" w:sz="0" w:space="0" w:color="auto"/>
        <w:right w:val="none" w:sz="0" w:space="0" w:color="auto"/>
      </w:divBdr>
    </w:div>
    <w:div w:id="1653215344">
      <w:bodyDiv w:val="1"/>
      <w:marLeft w:val="0"/>
      <w:marRight w:val="0"/>
      <w:marTop w:val="0"/>
      <w:marBottom w:val="0"/>
      <w:divBdr>
        <w:top w:val="none" w:sz="0" w:space="0" w:color="auto"/>
        <w:left w:val="none" w:sz="0" w:space="0" w:color="auto"/>
        <w:bottom w:val="none" w:sz="0" w:space="0" w:color="auto"/>
        <w:right w:val="none" w:sz="0" w:space="0" w:color="auto"/>
      </w:divBdr>
    </w:div>
    <w:div w:id="1657605768">
      <w:bodyDiv w:val="1"/>
      <w:marLeft w:val="0"/>
      <w:marRight w:val="0"/>
      <w:marTop w:val="0"/>
      <w:marBottom w:val="0"/>
      <w:divBdr>
        <w:top w:val="none" w:sz="0" w:space="0" w:color="auto"/>
        <w:left w:val="none" w:sz="0" w:space="0" w:color="auto"/>
        <w:bottom w:val="none" w:sz="0" w:space="0" w:color="auto"/>
        <w:right w:val="none" w:sz="0" w:space="0" w:color="auto"/>
      </w:divBdr>
    </w:div>
    <w:div w:id="1666859864">
      <w:bodyDiv w:val="1"/>
      <w:marLeft w:val="0"/>
      <w:marRight w:val="0"/>
      <w:marTop w:val="0"/>
      <w:marBottom w:val="0"/>
      <w:divBdr>
        <w:top w:val="none" w:sz="0" w:space="0" w:color="auto"/>
        <w:left w:val="none" w:sz="0" w:space="0" w:color="auto"/>
        <w:bottom w:val="none" w:sz="0" w:space="0" w:color="auto"/>
        <w:right w:val="none" w:sz="0" w:space="0" w:color="auto"/>
      </w:divBdr>
    </w:div>
    <w:div w:id="1673068859">
      <w:bodyDiv w:val="1"/>
      <w:marLeft w:val="0"/>
      <w:marRight w:val="0"/>
      <w:marTop w:val="0"/>
      <w:marBottom w:val="0"/>
      <w:divBdr>
        <w:top w:val="none" w:sz="0" w:space="0" w:color="auto"/>
        <w:left w:val="none" w:sz="0" w:space="0" w:color="auto"/>
        <w:bottom w:val="none" w:sz="0" w:space="0" w:color="auto"/>
        <w:right w:val="none" w:sz="0" w:space="0" w:color="auto"/>
      </w:divBdr>
    </w:div>
    <w:div w:id="1683118015">
      <w:bodyDiv w:val="1"/>
      <w:marLeft w:val="0"/>
      <w:marRight w:val="0"/>
      <w:marTop w:val="0"/>
      <w:marBottom w:val="0"/>
      <w:divBdr>
        <w:top w:val="none" w:sz="0" w:space="0" w:color="auto"/>
        <w:left w:val="none" w:sz="0" w:space="0" w:color="auto"/>
        <w:bottom w:val="none" w:sz="0" w:space="0" w:color="auto"/>
        <w:right w:val="none" w:sz="0" w:space="0" w:color="auto"/>
      </w:divBdr>
    </w:div>
    <w:div w:id="1692756720">
      <w:bodyDiv w:val="1"/>
      <w:marLeft w:val="0"/>
      <w:marRight w:val="0"/>
      <w:marTop w:val="0"/>
      <w:marBottom w:val="0"/>
      <w:divBdr>
        <w:top w:val="none" w:sz="0" w:space="0" w:color="auto"/>
        <w:left w:val="none" w:sz="0" w:space="0" w:color="auto"/>
        <w:bottom w:val="none" w:sz="0" w:space="0" w:color="auto"/>
        <w:right w:val="none" w:sz="0" w:space="0" w:color="auto"/>
      </w:divBdr>
    </w:div>
    <w:div w:id="1777602031">
      <w:bodyDiv w:val="1"/>
      <w:marLeft w:val="0"/>
      <w:marRight w:val="0"/>
      <w:marTop w:val="0"/>
      <w:marBottom w:val="0"/>
      <w:divBdr>
        <w:top w:val="none" w:sz="0" w:space="0" w:color="auto"/>
        <w:left w:val="none" w:sz="0" w:space="0" w:color="auto"/>
        <w:bottom w:val="none" w:sz="0" w:space="0" w:color="auto"/>
        <w:right w:val="none" w:sz="0" w:space="0" w:color="auto"/>
      </w:divBdr>
    </w:div>
    <w:div w:id="1794443822">
      <w:bodyDiv w:val="1"/>
      <w:marLeft w:val="0"/>
      <w:marRight w:val="0"/>
      <w:marTop w:val="0"/>
      <w:marBottom w:val="0"/>
      <w:divBdr>
        <w:top w:val="none" w:sz="0" w:space="0" w:color="auto"/>
        <w:left w:val="none" w:sz="0" w:space="0" w:color="auto"/>
        <w:bottom w:val="none" w:sz="0" w:space="0" w:color="auto"/>
        <w:right w:val="none" w:sz="0" w:space="0" w:color="auto"/>
      </w:divBdr>
    </w:div>
    <w:div w:id="1795758119">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25929630">
      <w:bodyDiv w:val="1"/>
      <w:marLeft w:val="0"/>
      <w:marRight w:val="0"/>
      <w:marTop w:val="0"/>
      <w:marBottom w:val="0"/>
      <w:divBdr>
        <w:top w:val="none" w:sz="0" w:space="0" w:color="auto"/>
        <w:left w:val="none" w:sz="0" w:space="0" w:color="auto"/>
        <w:bottom w:val="none" w:sz="0" w:space="0" w:color="auto"/>
        <w:right w:val="none" w:sz="0" w:space="0" w:color="auto"/>
      </w:divBdr>
    </w:div>
    <w:div w:id="1859460645">
      <w:bodyDiv w:val="1"/>
      <w:marLeft w:val="0"/>
      <w:marRight w:val="0"/>
      <w:marTop w:val="0"/>
      <w:marBottom w:val="0"/>
      <w:divBdr>
        <w:top w:val="none" w:sz="0" w:space="0" w:color="auto"/>
        <w:left w:val="none" w:sz="0" w:space="0" w:color="auto"/>
        <w:bottom w:val="none" w:sz="0" w:space="0" w:color="auto"/>
        <w:right w:val="none" w:sz="0" w:space="0" w:color="auto"/>
      </w:divBdr>
    </w:div>
    <w:div w:id="1868517936">
      <w:bodyDiv w:val="1"/>
      <w:marLeft w:val="0"/>
      <w:marRight w:val="0"/>
      <w:marTop w:val="0"/>
      <w:marBottom w:val="0"/>
      <w:divBdr>
        <w:top w:val="none" w:sz="0" w:space="0" w:color="auto"/>
        <w:left w:val="none" w:sz="0" w:space="0" w:color="auto"/>
        <w:bottom w:val="none" w:sz="0" w:space="0" w:color="auto"/>
        <w:right w:val="none" w:sz="0" w:space="0" w:color="auto"/>
      </w:divBdr>
    </w:div>
    <w:div w:id="1889026658">
      <w:bodyDiv w:val="1"/>
      <w:marLeft w:val="0"/>
      <w:marRight w:val="0"/>
      <w:marTop w:val="0"/>
      <w:marBottom w:val="0"/>
      <w:divBdr>
        <w:top w:val="none" w:sz="0" w:space="0" w:color="auto"/>
        <w:left w:val="none" w:sz="0" w:space="0" w:color="auto"/>
        <w:bottom w:val="none" w:sz="0" w:space="0" w:color="auto"/>
        <w:right w:val="none" w:sz="0" w:space="0" w:color="auto"/>
      </w:divBdr>
    </w:div>
    <w:div w:id="1909925567">
      <w:bodyDiv w:val="1"/>
      <w:marLeft w:val="0"/>
      <w:marRight w:val="0"/>
      <w:marTop w:val="0"/>
      <w:marBottom w:val="0"/>
      <w:divBdr>
        <w:top w:val="none" w:sz="0" w:space="0" w:color="auto"/>
        <w:left w:val="none" w:sz="0" w:space="0" w:color="auto"/>
        <w:bottom w:val="none" w:sz="0" w:space="0" w:color="auto"/>
        <w:right w:val="none" w:sz="0" w:space="0" w:color="auto"/>
      </w:divBdr>
    </w:div>
    <w:div w:id="191385138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40525328">
      <w:bodyDiv w:val="1"/>
      <w:marLeft w:val="0"/>
      <w:marRight w:val="0"/>
      <w:marTop w:val="0"/>
      <w:marBottom w:val="0"/>
      <w:divBdr>
        <w:top w:val="none" w:sz="0" w:space="0" w:color="auto"/>
        <w:left w:val="none" w:sz="0" w:space="0" w:color="auto"/>
        <w:bottom w:val="none" w:sz="0" w:space="0" w:color="auto"/>
        <w:right w:val="none" w:sz="0" w:space="0" w:color="auto"/>
      </w:divBdr>
    </w:div>
    <w:div w:id="1955674178">
      <w:bodyDiv w:val="1"/>
      <w:marLeft w:val="0"/>
      <w:marRight w:val="0"/>
      <w:marTop w:val="0"/>
      <w:marBottom w:val="0"/>
      <w:divBdr>
        <w:top w:val="none" w:sz="0" w:space="0" w:color="auto"/>
        <w:left w:val="none" w:sz="0" w:space="0" w:color="auto"/>
        <w:bottom w:val="none" w:sz="0" w:space="0" w:color="auto"/>
        <w:right w:val="none" w:sz="0" w:space="0" w:color="auto"/>
      </w:divBdr>
    </w:div>
    <w:div w:id="1955861084">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0843601">
      <w:bodyDiv w:val="1"/>
      <w:marLeft w:val="0"/>
      <w:marRight w:val="0"/>
      <w:marTop w:val="0"/>
      <w:marBottom w:val="0"/>
      <w:divBdr>
        <w:top w:val="none" w:sz="0" w:space="0" w:color="auto"/>
        <w:left w:val="none" w:sz="0" w:space="0" w:color="auto"/>
        <w:bottom w:val="none" w:sz="0" w:space="0" w:color="auto"/>
        <w:right w:val="none" w:sz="0" w:space="0" w:color="auto"/>
      </w:divBdr>
    </w:div>
    <w:div w:id="2004239562">
      <w:bodyDiv w:val="1"/>
      <w:marLeft w:val="0"/>
      <w:marRight w:val="0"/>
      <w:marTop w:val="0"/>
      <w:marBottom w:val="0"/>
      <w:divBdr>
        <w:top w:val="none" w:sz="0" w:space="0" w:color="auto"/>
        <w:left w:val="none" w:sz="0" w:space="0" w:color="auto"/>
        <w:bottom w:val="none" w:sz="0" w:space="0" w:color="auto"/>
        <w:right w:val="none" w:sz="0" w:space="0" w:color="auto"/>
      </w:divBdr>
    </w:div>
    <w:div w:id="2020346578">
      <w:bodyDiv w:val="1"/>
      <w:marLeft w:val="0"/>
      <w:marRight w:val="0"/>
      <w:marTop w:val="0"/>
      <w:marBottom w:val="0"/>
      <w:divBdr>
        <w:top w:val="none" w:sz="0" w:space="0" w:color="auto"/>
        <w:left w:val="none" w:sz="0" w:space="0" w:color="auto"/>
        <w:bottom w:val="none" w:sz="0" w:space="0" w:color="auto"/>
        <w:right w:val="none" w:sz="0" w:space="0" w:color="auto"/>
      </w:divBdr>
    </w:div>
    <w:div w:id="2026402630">
      <w:bodyDiv w:val="1"/>
      <w:marLeft w:val="0"/>
      <w:marRight w:val="0"/>
      <w:marTop w:val="0"/>
      <w:marBottom w:val="0"/>
      <w:divBdr>
        <w:top w:val="none" w:sz="0" w:space="0" w:color="auto"/>
        <w:left w:val="none" w:sz="0" w:space="0" w:color="auto"/>
        <w:bottom w:val="none" w:sz="0" w:space="0" w:color="auto"/>
        <w:right w:val="none" w:sz="0" w:space="0" w:color="auto"/>
      </w:divBdr>
    </w:div>
    <w:div w:id="2077311809">
      <w:bodyDiv w:val="1"/>
      <w:marLeft w:val="0"/>
      <w:marRight w:val="0"/>
      <w:marTop w:val="0"/>
      <w:marBottom w:val="0"/>
      <w:divBdr>
        <w:top w:val="none" w:sz="0" w:space="0" w:color="auto"/>
        <w:left w:val="none" w:sz="0" w:space="0" w:color="auto"/>
        <w:bottom w:val="none" w:sz="0" w:space="0" w:color="auto"/>
        <w:right w:val="none" w:sz="0" w:space="0" w:color="auto"/>
      </w:divBdr>
    </w:div>
    <w:div w:id="2078433606">
      <w:bodyDiv w:val="1"/>
      <w:marLeft w:val="0"/>
      <w:marRight w:val="0"/>
      <w:marTop w:val="0"/>
      <w:marBottom w:val="0"/>
      <w:divBdr>
        <w:top w:val="none" w:sz="0" w:space="0" w:color="auto"/>
        <w:left w:val="none" w:sz="0" w:space="0" w:color="auto"/>
        <w:bottom w:val="none" w:sz="0" w:space="0" w:color="auto"/>
        <w:right w:val="none" w:sz="0" w:space="0" w:color="auto"/>
      </w:divBdr>
    </w:div>
    <w:div w:id="2110196498">
      <w:bodyDiv w:val="1"/>
      <w:marLeft w:val="0"/>
      <w:marRight w:val="0"/>
      <w:marTop w:val="0"/>
      <w:marBottom w:val="0"/>
      <w:divBdr>
        <w:top w:val="none" w:sz="0" w:space="0" w:color="auto"/>
        <w:left w:val="none" w:sz="0" w:space="0" w:color="auto"/>
        <w:bottom w:val="none" w:sz="0" w:space="0" w:color="auto"/>
        <w:right w:val="none" w:sz="0" w:space="0" w:color="auto"/>
      </w:divBdr>
    </w:div>
    <w:div w:id="2119064960">
      <w:bodyDiv w:val="1"/>
      <w:marLeft w:val="0"/>
      <w:marRight w:val="0"/>
      <w:marTop w:val="0"/>
      <w:marBottom w:val="0"/>
      <w:divBdr>
        <w:top w:val="none" w:sz="0" w:space="0" w:color="auto"/>
        <w:left w:val="none" w:sz="0" w:space="0" w:color="auto"/>
        <w:bottom w:val="none" w:sz="0" w:space="0" w:color="auto"/>
        <w:right w:val="none" w:sz="0" w:space="0" w:color="auto"/>
      </w:divBdr>
    </w:div>
    <w:div w:id="213575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2.xml><?xml version="1.0" encoding="utf-8"?>
<ds:datastoreItem xmlns:ds="http://schemas.openxmlformats.org/officeDocument/2006/customXml" ds:itemID="{45C0B00D-1454-46AF-AB59-C1A1010D770A}">
  <ds:schemaRefs>
    <ds:schemaRef ds:uri="http://schemas.microsoft.com/office/2006/metadata/properties"/>
    <ds:schemaRef ds:uri="e32f50e1-6846-4d7d-ad60-ccd6877e6c5e"/>
    <ds:schemaRef ds:uri="http://purl.org/dc/elements/1.1/"/>
    <ds:schemaRef ds:uri="5a888943-97ca-4c93-b605-714bb5e9e285"/>
    <ds:schemaRef ds:uri="http://schemas.microsoft.com/sharepoint/v4"/>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23a22248-acb0-4303-bd1b-c36b2527d0a2"/>
    <ds:schemaRef ds:uri="http://www.w3.org/XML/1998/namespace"/>
    <ds:schemaRef ds:uri="http://purl.org/dc/dcmitype/"/>
  </ds:schemaRefs>
</ds:datastoreItem>
</file>

<file path=customXml/itemProps3.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customXml/itemProps4.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5.xml><?xml version="1.0" encoding="utf-8"?>
<ds:datastoreItem xmlns:ds="http://schemas.openxmlformats.org/officeDocument/2006/customXml" ds:itemID="{9D7DCE2D-E0D4-41B5-AD74-BDCB75F396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9688</TotalTime>
  <Pages>4</Pages>
  <Words>1929</Words>
  <Characters>11052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1019</cp:revision>
  <cp:lastPrinted>2016-11-05T00:26:00Z</cp:lastPrinted>
  <dcterms:created xsi:type="dcterms:W3CDTF">2024-05-07T03:43:00Z</dcterms:created>
  <dcterms:modified xsi:type="dcterms:W3CDTF">2025-08-14T20:14:00Z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2024-09-05T03:07:55Z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2bc659dd-cc1f-44d9-a80f-5fc989477b45</vt:lpwstr>
  </property>
  <property fmtid="{D5CDD505-2E9C-101B-9397-08002B2CF9AE}" pid="30" name="MSIP_Label_bcf26ed8-713a-4e6c-8a04-66607341a11c_ContentBits">
    <vt:lpwstr>0</vt:lpwstr>
  </property>
</Properties>
</file>